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承德市工业和信息化局</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21</w:t>
      </w:r>
      <w:r>
        <w:rPr>
          <w:rFonts w:hint="eastAsia" w:ascii="方正小标宋简体" w:hAnsi="方正小标宋简体" w:eastAsia="方正小标宋简体" w:cs="方正小标宋简体"/>
          <w:b w:val="0"/>
          <w:bCs w:val="0"/>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部门预算信息公开</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《地方预决算公开操作规程》和《河北省省级预算公开办法》规定，现将20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年部门预算公开如下：</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一、部门职责及机构设置情况</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部门职责：</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（一）提出全市新型工业化发展战略和政策，协调解决新型工业化进程中的重大问题，拟订并组织实施全市工业的发展规划，推进产业结构战略性调整和优化升级，推进信息化和工业化融合。</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订并组织实施全市工业行业规划、计划和产业政策，提出优化产业布局、结构的政策建议，推进现代产业体系建设，起草工业和信息化工作方面的规章草案，组织实施行业技术规范和标准，指导行业质量管理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（三）监测分析全市工业运行态势，统计并发布相关信息，进行预测预警和信息引导；协调解决行业运行发展中的有关问题并提出政策建议；负责工业用电监测；负责工业应急管理、产业安全有关工作。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提出全市工业固定资产投资规模和方向（含利用外资和境外投资）,负责提出国家、省及市财政性建设资金安排的意见，按照规定权限，审批、核准、备案市规划内和年度计划规模内工业固定资产投资项目，负责工业企业技术改造投资项目核准、备案工作，对上述工业固定资产投资项目招投标活动实施监督。</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（五）负责对中小企业和民营经济促进工作进行指导、综合协调和监督检查，会同有关部门拟订促进中小企业发展和民营经济发展的相关政策和措施并组织实施，协调解决有关重大问题。</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（八）拟订并组织实施全市工业能源节约和资源综合利用促进政策，参与拟订能源节约和资源综合利用促进规划，组织协调相关重大示范工程和新产品、新技术、新设备、新材料的推广应用。</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（九）推进全市工业体制改革和管理创新，提高行业综合素质和核心竞争力，指导工业行业加强安全生产管理，负责民爆行业生产流通的监督管理和安全生产工作。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（十）开展工业、中小企业的对外合作与交流。</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（十一）承担履行《禁止化学武器公约》的组织协调工作。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（十二）承担盐业行业管理工作。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Style w:val="16"/>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（十三）完成市委、市政府交办的其他任务。</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机构设置：</w:t>
      </w:r>
    </w:p>
    <w:p>
      <w:pPr>
        <w:keepNext w:val="0"/>
        <w:keepLines w:val="0"/>
        <w:pageBreakBefore w:val="0"/>
        <w:widowControl w:val="0"/>
        <w:kinsoku/>
        <w:wordWrap/>
        <w:overflowPunct/>
        <w:topLinePunct w:val="0"/>
        <w:bidi w:val="0"/>
        <w:snapToGrid/>
        <w:spacing w:line="560" w:lineRule="exact"/>
        <w:jc w:val="center"/>
        <w:textAlignment w:val="auto"/>
        <w:outlineLvl w:val="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部门机构设置情况</w:t>
      </w:r>
    </w:p>
    <w:tbl>
      <w:tblPr>
        <w:tblStyle w:val="9"/>
        <w:tblW w:w="89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4"/>
        <w:gridCol w:w="1509"/>
        <w:gridCol w:w="1509"/>
        <w:gridCol w:w="2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3384"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单位名称</w:t>
            </w:r>
          </w:p>
        </w:tc>
        <w:tc>
          <w:tcPr>
            <w:tcW w:w="1509"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单位性质</w:t>
            </w:r>
          </w:p>
        </w:tc>
        <w:tc>
          <w:tcPr>
            <w:tcW w:w="1509"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单位规格</w:t>
            </w:r>
          </w:p>
        </w:tc>
        <w:tc>
          <w:tcPr>
            <w:tcW w:w="2575"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3384"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c>
          <w:tcPr>
            <w:tcW w:w="1509"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c>
          <w:tcPr>
            <w:tcW w:w="1509"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c>
          <w:tcPr>
            <w:tcW w:w="2575"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3384"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承德市工业和信息化局</w:t>
            </w:r>
          </w:p>
        </w:tc>
        <w:tc>
          <w:tcPr>
            <w:tcW w:w="1509"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1509"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w:t>
            </w:r>
            <w:r>
              <w:rPr>
                <w:rFonts w:hint="eastAsia" w:ascii="仿宋_GB2312" w:hAnsi="仿宋_GB2312" w:eastAsia="仿宋_GB2312" w:cs="仿宋_GB2312"/>
                <w:sz w:val="28"/>
                <w:szCs w:val="28"/>
                <w:lang w:val="en-US" w:eastAsia="zh-CN"/>
              </w:rPr>
              <w:t>处</w:t>
            </w:r>
            <w:r>
              <w:rPr>
                <w:rFonts w:hint="eastAsia" w:ascii="仿宋_GB2312" w:hAnsi="仿宋_GB2312" w:eastAsia="仿宋_GB2312" w:cs="仿宋_GB2312"/>
                <w:sz w:val="28"/>
                <w:szCs w:val="28"/>
              </w:rPr>
              <w:t>级</w:t>
            </w:r>
          </w:p>
        </w:tc>
        <w:tc>
          <w:tcPr>
            <w:tcW w:w="2575"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bl>
    <w:p>
      <w:pPr>
        <w:keepNext w:val="0"/>
        <w:keepLines w:val="0"/>
        <w:pageBreakBefore w:val="0"/>
        <w:widowControl w:val="0"/>
        <w:kinsoku/>
        <w:wordWrap/>
        <w:overflowPunct/>
        <w:topLinePunct w:val="0"/>
        <w:bidi w:val="0"/>
        <w:snapToGrid/>
        <w:spacing w:line="560" w:lineRule="exact"/>
        <w:ind w:firstLine="64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二、部门预算安排的总体情况</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部门预算的编制实行综合预算制度，即全部收入和支出都反映</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预算中。</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以下收入支出为本部门收入支出的汇总</w:t>
      </w:r>
      <w:r>
        <w:rPr>
          <w:rFonts w:hint="eastAsia" w:ascii="仿宋_GB2312" w:hAnsi="仿宋_GB2312" w:eastAsia="仿宋_GB2312" w:cs="仿宋_GB2312"/>
          <w:sz w:val="32"/>
          <w:szCs w:val="32"/>
          <w:lang w:val="en-US" w:eastAsia="zh-CN"/>
        </w:rPr>
        <w:t>,预算单位包括承德市工业和信息化局，下属事业单位不是预算单位，无独立财务管理。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（一）</w:t>
      </w:r>
      <w:r>
        <w:rPr>
          <w:rFonts w:hint="eastAsia" w:ascii="仿宋_GB2312" w:hAnsi="仿宋_GB2312" w:eastAsia="仿宋_GB2312" w:cs="仿宋_GB2312"/>
          <w:color w:val="000000" w:themeColor="text1"/>
          <w:sz w:val="32"/>
          <w:szCs w:val="32"/>
        </w:rPr>
        <w:t>收入说明</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反映本部门当年全部收入，2021年</w:t>
      </w:r>
      <w:r>
        <w:rPr>
          <w:rFonts w:hint="eastAsia" w:ascii="仿宋_GB2312" w:hAnsi="仿宋_GB2312" w:eastAsia="仿宋_GB2312" w:cs="仿宋_GB2312"/>
          <w:color w:val="000000" w:themeColor="text1"/>
          <w:sz w:val="32"/>
          <w:szCs w:val="32"/>
          <w:lang w:eastAsia="zh-CN"/>
        </w:rPr>
        <w:t>预算收入</w:t>
      </w:r>
      <w:r>
        <w:rPr>
          <w:rFonts w:hint="eastAsia" w:ascii="仿宋_GB2312" w:hAnsi="仿宋_GB2312" w:eastAsia="仿宋_GB2312" w:cs="仿宋_GB2312"/>
          <w:color w:val="000000" w:themeColor="text1"/>
          <w:sz w:val="32"/>
          <w:szCs w:val="32"/>
          <w:lang w:val="en-US" w:eastAsia="zh-CN"/>
        </w:rPr>
        <w:t>2666.46</w:t>
      </w:r>
      <w:r>
        <w:rPr>
          <w:rFonts w:hint="eastAsia" w:ascii="仿宋_GB2312" w:hAnsi="仿宋_GB2312" w:eastAsia="仿宋_GB2312" w:cs="仿宋_GB2312"/>
          <w:color w:val="000000" w:themeColor="text1"/>
          <w:sz w:val="32"/>
          <w:szCs w:val="32"/>
        </w:rPr>
        <w:t>万元，其中：非限额补助</w:t>
      </w:r>
      <w:r>
        <w:rPr>
          <w:rFonts w:hint="eastAsia" w:ascii="仿宋_GB2312" w:hAnsi="仿宋_GB2312" w:eastAsia="仿宋_GB2312" w:cs="仿宋_GB2312"/>
          <w:color w:val="000000" w:themeColor="text1"/>
          <w:sz w:val="32"/>
          <w:szCs w:val="32"/>
          <w:lang w:val="en-US" w:eastAsia="zh-CN"/>
        </w:rPr>
        <w:t>2666.46</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比</w:t>
      </w:r>
      <w:r>
        <w:rPr>
          <w:rFonts w:hint="eastAsia" w:ascii="仿宋_GB2312" w:hAnsi="仿宋_GB2312" w:eastAsia="仿宋_GB2312" w:cs="仿宋_GB2312"/>
          <w:color w:val="000000" w:themeColor="text1"/>
          <w:sz w:val="32"/>
          <w:szCs w:val="32"/>
          <w:lang w:val="en-US" w:eastAsia="zh-CN"/>
        </w:rPr>
        <w:t>2020年预算减少1183.78万元，同比降低30.74%。原因为项目预算收入减少。</w:t>
      </w:r>
    </w:p>
    <w:p>
      <w:pPr>
        <w:keepNext w:val="0"/>
        <w:keepLines w:val="0"/>
        <w:pageBreakBefore w:val="0"/>
        <w:widowControl w:val="0"/>
        <w:numPr>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支出说明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收支预算总表支出栏、基本支出表、项目支出表按经济分类和支出功能分类科目编制，反映承德市工业和信息化局年度部门预算中支出预算的总体情况。</w:t>
      </w: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21</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部门支出</w:t>
      </w:r>
      <w:r>
        <w:rPr>
          <w:rFonts w:hint="eastAsia" w:ascii="仿宋_GB2312" w:hAnsi="仿宋_GB2312" w:eastAsia="仿宋_GB2312" w:cs="仿宋_GB2312"/>
          <w:color w:val="000000" w:themeColor="text1"/>
          <w:sz w:val="32"/>
          <w:szCs w:val="32"/>
        </w:rPr>
        <w:t>预算为</w:t>
      </w:r>
      <w:r>
        <w:rPr>
          <w:rFonts w:hint="eastAsia" w:ascii="仿宋_GB2312" w:hAnsi="仿宋_GB2312" w:eastAsia="仿宋_GB2312" w:cs="仿宋_GB2312"/>
          <w:color w:val="000000" w:themeColor="text1"/>
          <w:sz w:val="32"/>
          <w:szCs w:val="32"/>
          <w:lang w:val="en-US" w:eastAsia="zh-CN"/>
        </w:rPr>
        <w:t>2666.46</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其中基本</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2586.46</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包括人员经费</w:t>
      </w:r>
      <w:r>
        <w:rPr>
          <w:rFonts w:hint="eastAsia" w:ascii="仿宋_GB2312" w:hAnsi="仿宋_GB2312" w:eastAsia="仿宋_GB2312" w:cs="仿宋_GB2312"/>
          <w:color w:val="000000" w:themeColor="text1"/>
          <w:sz w:val="32"/>
          <w:szCs w:val="32"/>
          <w:lang w:val="en-US" w:eastAsia="zh-CN"/>
        </w:rPr>
        <w:t>2384.54万元、</w:t>
      </w:r>
      <w:r>
        <w:rPr>
          <w:rFonts w:hint="eastAsia" w:ascii="仿宋_GB2312" w:hAnsi="仿宋_GB2312" w:eastAsia="仿宋_GB2312" w:cs="仿宋_GB2312"/>
          <w:color w:val="000000" w:themeColor="text1"/>
          <w:sz w:val="32"/>
          <w:szCs w:val="32"/>
          <w:lang w:eastAsia="zh-CN"/>
        </w:rPr>
        <w:t>日常</w:t>
      </w:r>
      <w:r>
        <w:rPr>
          <w:rFonts w:hint="eastAsia" w:ascii="仿宋_GB2312" w:hAnsi="仿宋_GB2312" w:eastAsia="仿宋_GB2312" w:cs="仿宋_GB2312"/>
          <w:color w:val="000000" w:themeColor="text1"/>
          <w:sz w:val="32"/>
          <w:szCs w:val="32"/>
        </w:rPr>
        <w:t>公用经费</w:t>
      </w:r>
      <w:r>
        <w:rPr>
          <w:rFonts w:hint="eastAsia" w:ascii="仿宋_GB2312" w:hAnsi="仿宋_GB2312" w:eastAsia="仿宋_GB2312" w:cs="仿宋_GB2312"/>
          <w:color w:val="000000" w:themeColor="text1"/>
          <w:sz w:val="32"/>
          <w:szCs w:val="32"/>
          <w:lang w:val="en-US" w:eastAsia="zh-CN"/>
        </w:rPr>
        <w:t>201.92万元；</w:t>
      </w:r>
      <w:r>
        <w:rPr>
          <w:rFonts w:hint="eastAsia" w:ascii="仿宋_GB2312" w:hAnsi="仿宋_GB2312" w:eastAsia="仿宋_GB2312" w:cs="仿宋_GB2312"/>
          <w:color w:val="000000" w:themeColor="text1"/>
          <w:sz w:val="32"/>
          <w:szCs w:val="32"/>
          <w:lang w:eastAsia="zh-CN"/>
        </w:rPr>
        <w:t>项目支出</w:t>
      </w:r>
      <w:r>
        <w:rPr>
          <w:rFonts w:hint="eastAsia" w:ascii="仿宋_GB2312" w:hAnsi="仿宋_GB2312" w:eastAsia="仿宋_GB2312" w:cs="仿宋_GB2312"/>
          <w:color w:val="000000" w:themeColor="text1"/>
          <w:sz w:val="32"/>
          <w:szCs w:val="32"/>
          <w:lang w:val="en-US" w:eastAsia="zh-CN"/>
        </w:rPr>
        <w:t>80.00万元，全部为本级支出。</w:t>
      </w:r>
      <w:r>
        <w:rPr>
          <w:rFonts w:hint="eastAsia" w:ascii="仿宋_GB2312" w:hAnsi="仿宋_GB2312" w:eastAsia="仿宋_GB2312" w:cs="仿宋_GB2312"/>
          <w:color w:val="000000" w:themeColor="text1"/>
          <w:sz w:val="32"/>
          <w:szCs w:val="32"/>
          <w:lang w:eastAsia="zh-CN"/>
        </w:rPr>
        <w:t>比</w:t>
      </w:r>
      <w:r>
        <w:rPr>
          <w:rFonts w:hint="eastAsia" w:ascii="仿宋_GB2312" w:hAnsi="仿宋_GB2312" w:eastAsia="仿宋_GB2312" w:cs="仿宋_GB2312"/>
          <w:color w:val="000000" w:themeColor="text1"/>
          <w:sz w:val="32"/>
          <w:szCs w:val="32"/>
          <w:lang w:val="en-US" w:eastAsia="zh-CN"/>
        </w:rPr>
        <w:t>2020年预算减少1183.78万元，同比降低30.74%。原因为本年度项目预算支出减少。</w:t>
      </w:r>
    </w:p>
    <w:p>
      <w:pPr>
        <w:keepNext w:val="0"/>
        <w:keepLines w:val="0"/>
        <w:pageBreakBefore w:val="0"/>
        <w:widowControl w:val="0"/>
        <w:numPr>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比上年增减情况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2021年部门预算较2020年预算减少1183.78万元，同比降低30.74%。其中：基本支出减少83.78万元，同比降低3.13%，原因为在职转退休，工资减少；离退休人员死亡，支出减少；项目支出减少1100万元，同比降低93.22%，原因为项目预算减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机关运行经费共计安排</w:t>
      </w:r>
      <w:r>
        <w:rPr>
          <w:rFonts w:hint="eastAsia" w:ascii="仿宋_GB2312" w:hAnsi="仿宋_GB2312" w:eastAsia="仿宋_GB2312" w:cs="仿宋_GB2312"/>
          <w:color w:val="000000" w:themeColor="text1"/>
          <w:sz w:val="32"/>
          <w:szCs w:val="32"/>
          <w:lang w:val="en-US" w:eastAsia="zh-CN"/>
        </w:rPr>
        <w:t>201.92</w:t>
      </w:r>
      <w:r>
        <w:rPr>
          <w:rFonts w:hint="eastAsia" w:ascii="仿宋_GB2312" w:hAnsi="仿宋_GB2312" w:eastAsia="仿宋_GB2312" w:cs="仿宋_GB2312"/>
          <w:color w:val="000000" w:themeColor="text1"/>
          <w:sz w:val="32"/>
          <w:szCs w:val="32"/>
        </w:rPr>
        <w:t>万元，主要用于</w:t>
      </w:r>
      <w:r>
        <w:rPr>
          <w:rFonts w:hint="eastAsia" w:ascii="仿宋_GB2312" w:hAnsi="仿宋_GB2312" w:eastAsia="仿宋_GB2312" w:cs="仿宋_GB2312"/>
          <w:color w:val="000000" w:themeColor="text1"/>
          <w:sz w:val="32"/>
          <w:szCs w:val="32"/>
          <w:lang w:eastAsia="zh-CN"/>
        </w:rPr>
        <w:t>保证机关正常运转的办公及印刷费、邮电费、差旅费、会议费、福利费、专用材料及一般设备购置费、办公用房水电费、办公用房取暖费、日常维修费、办公楼物业管理费、公务车运行维护费等支出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其中：办公费</w:t>
      </w:r>
      <w:r>
        <w:rPr>
          <w:rFonts w:hint="eastAsia" w:ascii="仿宋_GB2312" w:hAnsi="仿宋_GB2312" w:eastAsia="仿宋_GB2312" w:cs="仿宋_GB2312"/>
          <w:color w:val="000000" w:themeColor="text1"/>
          <w:sz w:val="32"/>
          <w:szCs w:val="32"/>
          <w:lang w:val="en-US" w:eastAsia="zh-CN"/>
        </w:rPr>
        <w:t>15.56万元、邮电费37.56万元、差旅费5.00万元、因公出国费10.00万元、公务接待费1.24万元（不含公用经费中5.00万元公务接待费）、福利费9.46万元、工会经费7.67万元、</w:t>
      </w:r>
      <w:r>
        <w:rPr>
          <w:rFonts w:hint="eastAsia" w:ascii="仿宋_GB2312" w:hAnsi="仿宋_GB2312" w:eastAsia="仿宋_GB2312" w:cs="仿宋_GB2312"/>
          <w:color w:val="000000" w:themeColor="text1"/>
          <w:sz w:val="32"/>
          <w:szCs w:val="32"/>
          <w:lang w:eastAsia="zh-CN"/>
        </w:rPr>
        <w:t>公务用车运行费</w:t>
      </w:r>
      <w:r>
        <w:rPr>
          <w:rFonts w:hint="eastAsia" w:ascii="仿宋_GB2312" w:hAnsi="仿宋_GB2312" w:eastAsia="仿宋_GB2312" w:cs="仿宋_GB2312"/>
          <w:color w:val="000000" w:themeColor="text1"/>
          <w:sz w:val="32"/>
          <w:szCs w:val="32"/>
          <w:lang w:val="en-US" w:eastAsia="zh-CN"/>
        </w:rPr>
        <w:t>4.20万元（不含公用经费中5.00万元公车运行费）、公务交通补贴54.40万元、党组织活动经费1.56万元、离退休人员公用经费23.41万元、离退休人员福利费31.86万元。</w:t>
      </w:r>
      <w:r>
        <w:rPr>
          <w:rFonts w:hint="eastAsia" w:ascii="仿宋_GB2312" w:hAnsi="仿宋_GB2312" w:eastAsia="仿宋_GB2312" w:cs="仿宋_GB2312"/>
          <w:color w:val="000000" w:themeColor="text1"/>
          <w:sz w:val="32"/>
          <w:szCs w:val="32"/>
          <w:lang w:eastAsia="zh-CN"/>
        </w:rPr>
        <w:t>较上年公开数据减少</w:t>
      </w:r>
      <w:r>
        <w:rPr>
          <w:rFonts w:hint="eastAsia" w:ascii="仿宋_GB2312" w:hAnsi="仿宋_GB2312" w:eastAsia="仿宋_GB2312" w:cs="仿宋_GB2312"/>
          <w:color w:val="000000" w:themeColor="text1"/>
          <w:sz w:val="32"/>
          <w:szCs w:val="32"/>
          <w:lang w:val="en-US" w:eastAsia="zh-CN"/>
        </w:rPr>
        <w:t>5.14万元，同比降低2.48%。减少原因为人员减少经费降低。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21</w:t>
      </w:r>
      <w:r>
        <w:rPr>
          <w:rFonts w:hint="eastAsia" w:ascii="仿宋_GB2312" w:hAnsi="仿宋_GB2312" w:eastAsia="仿宋_GB2312" w:cs="仿宋_GB2312"/>
          <w:color w:val="000000" w:themeColor="text1"/>
          <w:sz w:val="32"/>
          <w:szCs w:val="32"/>
        </w:rPr>
        <w:t>年，财政拨款“三公”经费预算安排</w:t>
      </w:r>
      <w:r>
        <w:rPr>
          <w:rFonts w:hint="eastAsia" w:ascii="仿宋_GB2312" w:hAnsi="仿宋_GB2312" w:eastAsia="仿宋_GB2312" w:cs="仿宋_GB2312"/>
          <w:color w:val="000000" w:themeColor="text1"/>
          <w:sz w:val="32"/>
          <w:szCs w:val="32"/>
          <w:lang w:val="en-US" w:eastAsia="zh-CN"/>
        </w:rPr>
        <w:t>25.44</w:t>
      </w:r>
      <w:r>
        <w:rPr>
          <w:rFonts w:hint="eastAsia" w:ascii="仿宋_GB2312" w:hAnsi="仿宋_GB2312" w:eastAsia="仿宋_GB2312" w:cs="仿宋_GB2312"/>
          <w:color w:val="000000" w:themeColor="text1"/>
          <w:sz w:val="32"/>
          <w:szCs w:val="32"/>
        </w:rPr>
        <w:t>万元，其中</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因公出国（境）费</w:t>
      </w:r>
      <w:r>
        <w:rPr>
          <w:rFonts w:hint="eastAsia" w:ascii="仿宋_GB2312" w:hAnsi="仿宋_GB2312" w:eastAsia="仿宋_GB2312" w:cs="仿宋_GB2312"/>
          <w:color w:val="000000" w:themeColor="text1"/>
          <w:sz w:val="32"/>
          <w:szCs w:val="32"/>
          <w:lang w:val="en-US" w:eastAsia="zh-CN"/>
        </w:rPr>
        <w:t>10.00</w:t>
      </w:r>
      <w:r>
        <w:rPr>
          <w:rFonts w:hint="eastAsia" w:ascii="仿宋_GB2312" w:hAnsi="仿宋_GB2312" w:eastAsia="仿宋_GB2312" w:cs="仿宋_GB2312"/>
          <w:color w:val="000000" w:themeColor="text1"/>
          <w:sz w:val="32"/>
          <w:szCs w:val="32"/>
        </w:rPr>
        <w:t>万元；公务用车购置及运维费</w:t>
      </w:r>
      <w:r>
        <w:rPr>
          <w:rFonts w:hint="eastAsia" w:ascii="仿宋_GB2312" w:hAnsi="仿宋_GB2312" w:eastAsia="仿宋_GB2312" w:cs="仿宋_GB2312"/>
          <w:color w:val="000000" w:themeColor="text1"/>
          <w:sz w:val="32"/>
          <w:szCs w:val="32"/>
          <w:lang w:val="en-US" w:eastAsia="zh-CN"/>
        </w:rPr>
        <w:t>9.20</w:t>
      </w:r>
      <w:r>
        <w:rPr>
          <w:rFonts w:hint="eastAsia" w:ascii="仿宋_GB2312" w:hAnsi="仿宋_GB2312" w:eastAsia="仿宋_GB2312" w:cs="仿宋_GB2312"/>
          <w:color w:val="000000" w:themeColor="text1"/>
          <w:sz w:val="32"/>
          <w:szCs w:val="32"/>
        </w:rPr>
        <w:t>万元（其中：公务用车运行费</w:t>
      </w:r>
      <w:r>
        <w:rPr>
          <w:rFonts w:hint="eastAsia" w:ascii="仿宋_GB2312" w:hAnsi="仿宋_GB2312" w:eastAsia="仿宋_GB2312" w:cs="仿宋_GB2312"/>
          <w:color w:val="000000" w:themeColor="text1"/>
          <w:sz w:val="32"/>
          <w:szCs w:val="32"/>
          <w:lang w:val="en-US" w:eastAsia="zh-CN"/>
        </w:rPr>
        <w:t>9.20</w:t>
      </w:r>
      <w:r>
        <w:rPr>
          <w:rFonts w:hint="eastAsia" w:ascii="仿宋_GB2312" w:hAnsi="仿宋_GB2312" w:eastAsia="仿宋_GB2312" w:cs="仿宋_GB2312"/>
          <w:color w:val="000000" w:themeColor="text1"/>
          <w:sz w:val="32"/>
          <w:szCs w:val="32"/>
        </w:rPr>
        <w:t>万元)；公务接待费</w:t>
      </w:r>
      <w:r>
        <w:rPr>
          <w:rFonts w:hint="eastAsia" w:ascii="仿宋_GB2312" w:hAnsi="仿宋_GB2312" w:eastAsia="仿宋_GB2312" w:cs="仿宋_GB2312"/>
          <w:color w:val="000000" w:themeColor="text1"/>
          <w:sz w:val="32"/>
          <w:szCs w:val="32"/>
          <w:lang w:val="en-US" w:eastAsia="zh-CN"/>
        </w:rPr>
        <w:t>6.24</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“三公”经费比上年预算</w:t>
      </w:r>
      <w:r>
        <w:rPr>
          <w:rFonts w:hint="eastAsia" w:ascii="仿宋_GB2312" w:hAnsi="仿宋_GB2312" w:eastAsia="仿宋_GB2312" w:cs="仿宋_GB2312"/>
          <w:color w:val="000000" w:themeColor="text1"/>
          <w:sz w:val="32"/>
          <w:szCs w:val="32"/>
          <w:lang w:val="en-US" w:eastAsia="zh-CN"/>
        </w:rPr>
        <w:t>增加12.88万元，同比增加102.54%。原因为2020年因公出国</w:t>
      </w:r>
      <w:r>
        <w:rPr>
          <w:rFonts w:hint="eastAsia" w:ascii="仿宋_GB2312" w:hAnsi="仿宋_GB2312" w:eastAsia="仿宋_GB2312" w:cs="仿宋_GB2312"/>
          <w:color w:val="000000" w:themeColor="text1"/>
          <w:sz w:val="32"/>
          <w:szCs w:val="32"/>
        </w:rPr>
        <w:t>（境）</w:t>
      </w:r>
      <w:r>
        <w:rPr>
          <w:rFonts w:hint="eastAsia" w:ascii="仿宋_GB2312" w:hAnsi="仿宋_GB2312" w:eastAsia="仿宋_GB2312" w:cs="仿宋_GB2312"/>
          <w:color w:val="000000" w:themeColor="text1"/>
          <w:sz w:val="32"/>
          <w:szCs w:val="32"/>
          <w:lang w:val="en-US" w:eastAsia="zh-CN"/>
        </w:rPr>
        <w:t>费财政预留，未在部门预算中批复，三公经费总体增加。其中：</w:t>
      </w:r>
      <w:r>
        <w:rPr>
          <w:rFonts w:hint="eastAsia" w:ascii="仿宋_GB2312" w:hAnsi="仿宋_GB2312" w:eastAsia="仿宋_GB2312" w:cs="仿宋_GB2312"/>
          <w:color w:val="000000" w:themeColor="text1"/>
          <w:sz w:val="32"/>
          <w:szCs w:val="32"/>
        </w:rPr>
        <w:t>因公出国（境）费</w:t>
      </w:r>
      <w:r>
        <w:rPr>
          <w:rFonts w:hint="eastAsia" w:ascii="仿宋_GB2312" w:hAnsi="仿宋_GB2312" w:eastAsia="仿宋_GB2312" w:cs="仿宋_GB2312"/>
          <w:color w:val="000000" w:themeColor="text1"/>
          <w:sz w:val="32"/>
          <w:szCs w:val="32"/>
          <w:lang w:eastAsia="zh-CN"/>
        </w:rPr>
        <w:t>比上年增加</w:t>
      </w:r>
      <w:r>
        <w:rPr>
          <w:rFonts w:hint="eastAsia" w:ascii="仿宋_GB2312" w:hAnsi="仿宋_GB2312" w:eastAsia="仿宋_GB2312" w:cs="仿宋_GB2312"/>
          <w:color w:val="000000" w:themeColor="text1"/>
          <w:sz w:val="32"/>
          <w:szCs w:val="32"/>
          <w:lang w:val="en-US" w:eastAsia="zh-CN"/>
        </w:rPr>
        <w:t>10.00万元，同比增加100%；增加的原因为2020年因公出国</w:t>
      </w:r>
      <w:r>
        <w:rPr>
          <w:rFonts w:hint="eastAsia" w:ascii="仿宋_GB2312" w:hAnsi="仿宋_GB2312" w:eastAsia="仿宋_GB2312" w:cs="仿宋_GB2312"/>
          <w:color w:val="000000" w:themeColor="text1"/>
          <w:sz w:val="32"/>
          <w:szCs w:val="32"/>
        </w:rPr>
        <w:t>（境）</w:t>
      </w:r>
      <w:r>
        <w:rPr>
          <w:rFonts w:hint="eastAsia" w:ascii="仿宋_GB2312" w:hAnsi="仿宋_GB2312" w:eastAsia="仿宋_GB2312" w:cs="仿宋_GB2312"/>
          <w:color w:val="000000" w:themeColor="text1"/>
          <w:sz w:val="32"/>
          <w:szCs w:val="32"/>
          <w:lang w:val="en-US" w:eastAsia="zh-CN"/>
        </w:rPr>
        <w:t>费财政预留，财政未在部门预算中批复；</w:t>
      </w:r>
      <w:r>
        <w:rPr>
          <w:rFonts w:hint="eastAsia" w:ascii="仿宋_GB2312" w:hAnsi="仿宋_GB2312" w:eastAsia="仿宋_GB2312" w:cs="仿宋_GB2312"/>
          <w:color w:val="000000" w:themeColor="text1"/>
          <w:sz w:val="32"/>
          <w:szCs w:val="32"/>
        </w:rPr>
        <w:t>公务用车购置及运维费</w:t>
      </w:r>
      <w:r>
        <w:rPr>
          <w:rFonts w:hint="eastAsia" w:ascii="仿宋_GB2312" w:hAnsi="仿宋_GB2312" w:eastAsia="仿宋_GB2312" w:cs="仿宋_GB2312"/>
          <w:color w:val="000000" w:themeColor="text1"/>
          <w:sz w:val="32"/>
          <w:szCs w:val="32"/>
          <w:lang w:eastAsia="zh-CN"/>
        </w:rPr>
        <w:t>与上年预算持平；</w:t>
      </w:r>
      <w:r>
        <w:rPr>
          <w:rFonts w:hint="eastAsia" w:ascii="仿宋_GB2312" w:hAnsi="仿宋_GB2312" w:eastAsia="仿宋_GB2312" w:cs="仿宋_GB2312"/>
          <w:color w:val="000000" w:themeColor="text1"/>
          <w:sz w:val="32"/>
          <w:szCs w:val="32"/>
        </w:rPr>
        <w:t>公务接待费</w:t>
      </w:r>
      <w:r>
        <w:rPr>
          <w:rFonts w:hint="eastAsia" w:ascii="仿宋_GB2312" w:hAnsi="仿宋_GB2312" w:eastAsia="仿宋_GB2312" w:cs="仿宋_GB2312"/>
          <w:color w:val="000000" w:themeColor="text1"/>
          <w:sz w:val="32"/>
          <w:szCs w:val="32"/>
          <w:lang w:eastAsia="zh-CN"/>
        </w:rPr>
        <w:t>比上年增加</w:t>
      </w:r>
      <w:r>
        <w:rPr>
          <w:rFonts w:hint="eastAsia" w:ascii="仿宋_GB2312" w:hAnsi="仿宋_GB2312" w:eastAsia="仿宋_GB2312" w:cs="仿宋_GB2312"/>
          <w:color w:val="000000" w:themeColor="text1"/>
          <w:sz w:val="32"/>
          <w:szCs w:val="32"/>
          <w:lang w:val="en-US" w:eastAsia="zh-CN"/>
        </w:rPr>
        <w:t>2.88万元，同比增加85.71%，增加原因为本年度接待任务增加，预算增加。</w:t>
      </w: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绩效预算信息</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 w:val="0"/>
          <w:bCs/>
          <w:sz w:val="32"/>
          <w:szCs w:val="32"/>
        </w:rPr>
      </w:pPr>
      <w:bookmarkStart w:id="0" w:name="_Toc471398463"/>
      <w:r>
        <w:rPr>
          <w:rFonts w:hint="eastAsia" w:ascii="仿宋_GB2312" w:hAnsi="仿宋_GB2312" w:eastAsia="仿宋_GB2312" w:cs="仿宋_GB2312"/>
          <w:b w:val="0"/>
          <w:bCs/>
          <w:sz w:val="32"/>
          <w:szCs w:val="32"/>
        </w:rPr>
        <w:t>第一部分 部门整体绩效目标</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（一）总体绩效目标</w:t>
      </w:r>
    </w:p>
    <w:p>
      <w:pPr>
        <w:pStyle w:val="18"/>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届五中全会精神和省、市委全会精神，坚定不移贯彻新发展理念，紧紧围绕“三区一城”发展定位，深入实施“1266”发展战略，以推动工业高质量发展为目标，着力抓好稳运行保增长、推进产业发展、骨干企业培育、重点项目建设、民营经济发展、产业集群壮大六项重点任务，重点实施产业链现代化、创新引领、融合促进、园区提质、品牌提升五项工程，强化体制机制建设、规划编制、政策支撑、企业服务、招商引资五项保障措施，推动我市工业高端化、智能化、绿色化、服务化发展，确保“十四五”工业发展开好局、起好步。</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（二）分项绩效目标</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1.着力稳运行保增长</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绩效目标：密切跟踪经济运行态势，加强对重点行业、重点企业的运行监测分析，确保实现工业经济稳定增长。</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绩效指标：实现规模以上工业增加值增速5%左右，新增规上工业企业30家。</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2.着力发展民营经济</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绩效目标：优化民营经济发展环境，鼓励民营企业创新发展，提升民营企业标准化、数字化水平，完善人才引进培养机制，推动民营经济高质量发展。</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绩效指标：培训民营企业、中小企业主要经营管理者40人次，运行监测企业上报率85%,民营经济增加值增加6%以上。</w:t>
      </w:r>
    </w:p>
    <w:p>
      <w:pPr>
        <w:pStyle w:val="18"/>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3．着力推进产业发展</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绩效目标：把高质量发展支撑落在产业上，培育壮大大数据产业、特色智能制造产业和新型绿色建材产业，促进更多资源要素向实体经济集聚，努力培育一批新的经济增长点。</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绩效指标：大数据产业实现产值45亿元以上，特色智能制造产业实现产值70亿元以上，新型绿色建材产业建成2个环京砂石骨料基地。</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4．着力推进项目建设</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绩效目标：围绕“3+3”主导产业和县域“1+2”特色产业谋划一批重大产业支撑项目。</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sz w:val="32"/>
          <w:szCs w:val="32"/>
        </w:rPr>
        <w:t>绩效指标：推进“百企转型”行动和“百项技改”工程，重点实施省级工业企业技改项目50项。</w:t>
      </w:r>
    </w:p>
    <w:p>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bCs/>
          <w:sz w:val="32"/>
          <w:szCs w:val="32"/>
        </w:rPr>
        <w:t>（三）工作保障措施</w:t>
      </w:r>
      <w:bookmarkStart w:id="1" w:name="_Toc536802293"/>
    </w:p>
    <w:p>
      <w:pPr>
        <w:pStyle w:val="3"/>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加强组织领导。建立统筹协调、分工协作、密切配合、合力推进的工作机制。根据我市预算绩效管理相关要求，健全完善我局预算绩效管理、预算资金管理等制度规定，按要求开展部门预算绩效实时监控、绩效自评和重点项目评价等工作。围绕年度总体绩效目标和分类绩效目标，细化工作方案，明确责任主体、实施进度要求，确保如期完成。</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狠抓工作落实。按照“谁支出、谁负责”的原则，明确各科室预算绩效管理职责。财务科配合相关科室开展分管项目及内容的预算绩效管理具体工作，实现花钱必问效，确保财务与业务工作紧密衔接。</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强化预算管理。开展绩效运行监控管理，强化财政预算执行的刚性约束。进一步规范财政资金使用和管理，强化内部控制制度建设。督促有关科室切实加快执行进度，预算一经批复，尽快启动项目，履行政府采购手续，确保按照时间节点完成支出任务， 及早发挥财政资金效益。</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1"/>
        <w:textAlignment w:val="auto"/>
        <w:rPr>
          <w:rFonts w:hint="eastAsia" w:ascii="仿宋_GB2312" w:hAnsi="仿宋_GB2312" w:eastAsia="仿宋_GB2312" w:cs="仿宋_GB2312"/>
        </w:rPr>
      </w:pPr>
      <w:r>
        <w:rPr>
          <w:rFonts w:hint="eastAsia" w:ascii="仿宋_GB2312" w:hAnsi="仿宋_GB2312" w:eastAsia="仿宋_GB2312" w:cs="仿宋_GB2312"/>
          <w:w w:val="95"/>
          <w:lang w:val="en-US" w:eastAsia="zh-CN"/>
        </w:rPr>
        <w:t>4、</w:t>
      </w:r>
      <w:r>
        <w:rPr>
          <w:rFonts w:hint="eastAsia" w:ascii="仿宋_GB2312" w:hAnsi="仿宋_GB2312" w:eastAsia="仿宋_GB2312" w:cs="仿宋_GB2312"/>
          <w:spacing w:val="-10"/>
          <w:w w:val="95"/>
        </w:rPr>
        <w:t xml:space="preserve">完善评价机制。扎实开展绩效自评，制定评价工作方案， </w:t>
      </w:r>
      <w:r>
        <w:rPr>
          <w:rFonts w:hint="eastAsia" w:ascii="仿宋_GB2312" w:hAnsi="仿宋_GB2312" w:eastAsia="仿宋_GB2312" w:cs="仿宋_GB2312"/>
          <w:spacing w:val="-10"/>
        </w:rPr>
        <w:t>明确评价内容、责任科室、评价方法等。必要时，聘请第三方机构独立开展评价。对在绩效评价发现的问题，研究解决对策，及时整改，调整优化支出结构，提高财政资金使用效益。</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宋体" w:hAnsi="宋体" w:eastAsia="宋体" w:cs="宋体"/>
          <w:sz w:val="32"/>
          <w:szCs w:val="32"/>
        </w:rPr>
        <w:sectPr>
          <w:headerReference r:id="rId4" w:type="default"/>
          <w:footerReference r:id="rId5" w:type="default"/>
          <w:pgSz w:w="11907" w:h="16839"/>
          <w:pgMar w:top="1984" w:right="1474" w:bottom="1984" w:left="1587"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_GB2312" w:hAnsi="仿宋_GB2312" w:eastAsia="仿宋_GB2312" w:cs="仿宋_GB2312"/>
          <w:lang w:val="en-US" w:eastAsia="zh-CN"/>
        </w:rPr>
        <w:t>5、</w:t>
      </w:r>
      <w:r>
        <w:rPr>
          <w:rFonts w:hint="eastAsia" w:ascii="仿宋_GB2312" w:hAnsi="仿宋_GB2312" w:eastAsia="仿宋_GB2312" w:cs="仿宋_GB2312"/>
        </w:rPr>
        <w:t>加强宣传培训。加强预算绩效管理专业知识培训，提高预算绩效管理工作人员的业务素质，强化预算绩效管理意识，掌握工作方法，提升管理能力。加大绩效预算宣传力度，利用多途径、多方式宣传绩效理念，营造良好的舆论氛围，促进预算绩效管理水</w:t>
      </w:r>
      <w:r>
        <w:rPr>
          <w:rFonts w:hint="eastAsia" w:ascii="仿宋_GB2312" w:hAnsi="仿宋_GB2312" w:eastAsia="仿宋_GB2312" w:cs="仿宋_GB2312"/>
          <w:lang w:eastAsia="zh-CN"/>
        </w:rPr>
        <w:t>平进一步提升。</w:t>
      </w:r>
    </w:p>
    <w:p>
      <w:pPr>
        <w:jc w:val="left"/>
        <w:outlineLvl w:val="0"/>
        <w:rPr>
          <w:rFonts w:hint="eastAsia" w:ascii="仿宋" w:hAnsi="仿宋" w:eastAsia="仿宋" w:cs="仿宋"/>
          <w:b/>
          <w:color w:val="000000" w:themeColor="text1"/>
          <w:sz w:val="32"/>
          <w:szCs w:val="32"/>
        </w:rPr>
      </w:pPr>
      <w:r>
        <w:rPr>
          <w:rFonts w:hint="eastAsia" w:ascii="仿宋" w:hAnsi="仿宋" w:eastAsia="仿宋" w:cs="仿宋"/>
          <w:b/>
          <w:color w:val="000000" w:themeColor="text1"/>
          <w:sz w:val="32"/>
          <w:szCs w:val="32"/>
        </w:rPr>
        <w:t>部门职责及工作活动绩效目标指标：</w:t>
      </w:r>
      <w:bookmarkStart w:id="4" w:name="_GoBack"/>
      <w:bookmarkEnd w:id="4"/>
    </w:p>
    <w:p>
      <w:pPr>
        <w:jc w:val="center"/>
        <w:outlineLvl w:val="0"/>
        <w:rPr>
          <w:rFonts w:hint="eastAsia" w:asciiTheme="minorEastAsia" w:hAnsiTheme="minorEastAsia" w:eastAsiaTheme="minorEastAsia" w:cstheme="minorEastAsia"/>
          <w:b w:val="0"/>
          <w:bCs w:val="0"/>
          <w:color w:val="FFFFFF"/>
          <w:sz w:val="32"/>
        </w:rPr>
      </w:pPr>
      <w:r>
        <w:rPr>
          <w:rFonts w:hint="eastAsia" w:asciiTheme="minorEastAsia" w:hAnsiTheme="minorEastAsia" w:eastAsiaTheme="minorEastAsia" w:cstheme="minorEastAsia"/>
          <w:b w:val="0"/>
          <w:bCs w:val="0"/>
          <w:sz w:val="32"/>
        </w:rPr>
        <w:t>部门职责-工作活动绩效目标</w:t>
      </w:r>
      <w:r>
        <w:rPr>
          <w:rStyle w:val="12"/>
          <w:rFonts w:hint="eastAsia" w:asciiTheme="minorEastAsia" w:hAnsiTheme="minorEastAsia" w:eastAsiaTheme="minorEastAsia" w:cstheme="minorEastAsia"/>
          <w:b w:val="0"/>
          <w:bCs w:val="0"/>
          <w:color w:val="FFFFFF"/>
          <w:sz w:val="32"/>
        </w:rPr>
        <w:footnoteReference w:id="0" w:customMarkFollows="1"/>
        <w:sym w:font="Symbol" w:char="F020"/>
      </w:r>
      <w:bookmarkEnd w:id="1"/>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593承德市工业和信息化局</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职责活动</w:t>
            </w:r>
          </w:p>
        </w:tc>
        <w:tc>
          <w:tcPr>
            <w:tcW w:w="1276"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年度预算数</w:t>
            </w:r>
          </w:p>
        </w:tc>
        <w:tc>
          <w:tcPr>
            <w:tcW w:w="2976"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内容描述</w:t>
            </w:r>
          </w:p>
        </w:tc>
        <w:tc>
          <w:tcPr>
            <w:tcW w:w="2976"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417"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w:t>
            </w:r>
          </w:p>
        </w:tc>
        <w:tc>
          <w:tcPr>
            <w:tcW w:w="2948" w:type="dxa"/>
            <w:gridSpan w:val="4"/>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1276"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2976"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2976"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1417"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优</w:t>
            </w: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良</w:t>
            </w: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w:t>
            </w: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一、促进工业转型升级</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80.00</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组织制定工业和信息化发展战略、规划。组织全市工业技术改造工作，推进企业技术创新体系建设。组织协调推进企业兼并重组、淘汰落后产能和化解过剩产能、工业节能与资源综合利用工作，组织实施重大专项，推进产业结构战略性调整和优化升级，加快现代产业体系建设。监测分析全市工业运行；负责全市钢铁、石化、建材、装备、纺织、医药、轻工食品、电子信息、软件信息服务业等工业行业管理，指导并组织实施行业准入和全市企业品牌建设等。推进信息化和工业化融合，工业物联网发展。推动全市软件业、信息服务业发展。</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加大我市工业转型升级步伐，实施“中国制造2028”，加快制造强市建设，提升工业发展的质量和效益。提升行业管理水平，促进行业健康发展。实施“互联网+”计划，提升全市信息化建设和发展水平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1、支持工业转型升级</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80.00</w:t>
            </w:r>
          </w:p>
        </w:tc>
        <w:tc>
          <w:tcPr>
            <w:tcW w:w="2976" w:type="dxa"/>
            <w:vMerge w:val="restart"/>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z w:val="18"/>
                <w:szCs w:val="18"/>
              </w:rPr>
              <w:t>研究提出全市新型工业和信息化发展战略和政策，支持工业技术改造，扶持企业技术创新，促进工业节能减排与尾矿资源综合利用，推进工业行业化解过剩产能、焦化治理、新能源汽车、刷卡排污总量监控系统建设，推动企业兼并重组，指导工业设计与制造融合发展，协调推进工业强市、制造强市建设，促进装备制造业加快发展，做好工业运行监测分析、预警，组织开展工业企业对标行动，加强工业行业质量管理，实施工业行业准入、规范管理和工业标准管理，指导工业行业安全生产、促进军民融合产业发展、应急管理，促进物联网、Wifi覆盖、大数据、云计算产业</w:t>
            </w:r>
          </w:p>
        </w:tc>
        <w:tc>
          <w:tcPr>
            <w:tcW w:w="2976" w:type="dxa"/>
            <w:vMerge w:val="restart"/>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z w:val="18"/>
                <w:szCs w:val="18"/>
              </w:rPr>
              <w:t>推动工业企业节能降耗减排，提升资源综合利用，促进绿色循环低碳发展。</w:t>
            </w: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投资额（亿元）</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≥150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关键工序制造装备数控化率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≥32%</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培育创建企业个数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1-2个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军民结合企业个数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对标指标体系更新和公布个数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技改项目实施数量（项）</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≥80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主营业务收入超亿元企业个数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规模以上工业万元增加值能耗比下降率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≥8%</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数字化研发设计工具普及率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尾矿综合利用率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≥22%</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2、工业和信息化对外交流与合作</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开展对外经济交流与合作，支持企业“走出去”，指导和推动工业企业参加展洽活动，积极开拓国内、国外市场，促进贸易成交和技术交流，追踪前沿动态。推进京津冀工业和信息化协同发展。</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促进工业企业开展对外经济交流与合作，提升工业对外开放水平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意向成交额增长率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企业参加展洽数量（家）</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≥200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≥150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军民结合企业个数</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二、推进全市信息化建设与应用</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lang w:val="en-US" w:eastAsia="zh-CN"/>
              </w:rPr>
              <w:t>100</w:t>
            </w:r>
            <w:r>
              <w:rPr>
                <w:rFonts w:hint="eastAsia" w:asciiTheme="minorEastAsia" w:hAnsiTheme="minorEastAsia" w:eastAsiaTheme="minorEastAsia" w:cstheme="minorEastAsia"/>
                <w:b w:val="0"/>
                <w:bCs w:val="0"/>
                <w:sz w:val="18"/>
                <w:szCs w:val="18"/>
              </w:rPr>
              <w:t>.00</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统筹协调推进全市信息化建设与应用；组织拟订相关政策规划；指导协调电子政务发展；推动互联互通和信息资源开发利用、共享。促进三网融合、信息消费；维护网络与信息安全。</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提升全市电子政务信息化建设与应用水平，保障网络与信息安全。</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1、协调全市信息安全保障体系建设</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lang w:val="en-US" w:eastAsia="zh-CN"/>
              </w:rPr>
              <w:t>100</w:t>
            </w:r>
            <w:r>
              <w:rPr>
                <w:rFonts w:hint="eastAsia" w:asciiTheme="minorEastAsia" w:hAnsiTheme="minorEastAsia" w:eastAsiaTheme="minorEastAsia" w:cstheme="minorEastAsia"/>
                <w:b w:val="0"/>
                <w:bCs w:val="0"/>
                <w:sz w:val="18"/>
                <w:szCs w:val="18"/>
              </w:rPr>
              <w:t>.00</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指导和协调网络与信息安全管理工作，推进信息安全等级保护等基础性工作，指导监督政府部门、重点行业重要信息系统与基础信息网络的安全保障，负责应急和重大事件协调处理工作。</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提高电子政务信息化水平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网站监测覆盖率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≥75%</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信息化项目审核率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三、开展医药储备工作</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负责全市医药储备工作</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切实完成医药储备任务</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1、协调医药储备</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协调相关医药流通企业落实医药储备任务。</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落实医药储备任务</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医药储备任务完成率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四、促进中小企业和民营经济发展</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加强对中小微企业和民营经济的宏观指导、综合协调，优化发展环境，激活市场主体，破解要素制约，强化公共服务，加强督导、检查和考核，提高民营经济和中小微企业发展质量和水平。</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推动中小微企业和民营经济持续、健康发展</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1、促进中小企业和民营经济发展</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推动中小和民营企业公共服务平台网络建设，推进为中小企业提供融资担保（包括金融机构风险补偿）、人才引进与培养、诚信评价、法律服务、产业集群、创业辅导、市场开拓等公共服务体系建设，促进县域工业发展。开展中小企业和民营经济运行监测。</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提升公共服务体系建设水平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监测点上报率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≥85%</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公共技术服务平台新增数量（个）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平台网络服务企业数量（千个）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≥1.8</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≥1.6</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五、工信政务管理</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负责系统（内部）综合业务管理和机关（内部）综合事务管理。</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提升工业和信息化综合事务管理水平。</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5"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1、综合业务管理</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制定部门发展战略和规划、指导系统业务活动和事业发展；装备和电子信息行业统计工作；新能源汽车推广应用工作；货车非法改装及双超治理工作；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企保合作，全市工业和信息化行业特有工种职业技能鉴定工作，以及全市履行禁止化学武器公约和专项资金监管、服务于支撑工业转型升级、工业强市、制造强市等工作的</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依法做好监控化学品日常监管和行政许可审批，完善工业和信息化政策法规体系建设，培育专业化人才，提升工业和信息化水平。</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综合业务管理工作完成率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≥95%</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6"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2、综合事务管理</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保障机关正常工作高效运转</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综合事务管理工作完成情况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≥95%</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六、制定政策性文件、编制全市年度规划计划</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贯彻国家、省墙改法规规章及政策；制定地方性墙改法规、规章和规范性文件。</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及时贯彻落实上级政策，切合实际制定地方法规规划。</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1、编制发展规划、年度计划</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编制全市墙体材料革新发展规划和年度计划。</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完成年度计划和总体规划</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计划完成优质率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2、落实、实施政策、计划</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深入各县区实施工作检查和目标考核</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年初开会安排全年工作；年中检查一次，年底考核一次。</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新墙材基金收缴比例</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新墙材企业生产备案监管率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新墙材产量和比例指标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建设面积完成率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七、建设工程验收</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参与建筑工程竣工验收</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督查使用新型墙体材料</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1、工程验收</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建筑工程现场查验新墙材使用情况</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达到建设工程应验尽验</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使用新墙材比率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八、墙体材料革新工作宣传推广</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负责墙体材料革新工作的宣传、信息交流、专业培训和新技术、新设备的推广。</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让全社会认识、使用新型墙材，从而节能利废。</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1、墙体材料革新工作宣传</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各种途径宣传、制作网页及其他方式信息交流</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增强人们对新型墙体材料的认知度，普及推广新型墙体材料</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年制作宣传品份数</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＞100份   </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80-100份    </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60-80份     </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＜60份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媒体宣传次数</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2-3</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2、新型墙体材料培训</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参加省办组织培训班；本级组织县区等相关工作人员进行培训</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学习、掌握国家墙材产业新政策、新技术、新设备、新产品。</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每年组织、参加培训考核情况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3、举办推广会</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举办墙材革新新技术、新设备、新产品推广会</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推广普及新型墙体材料，尤其承是德尾矿综合利用建材产品</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每年组织推介会情况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九、依法征收、管理、使用基金</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依法征收、管理和使用新墙材专项基金</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依法管理使用基金，引导社会节能利废。</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1、征收、返退基金</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收缴、管理、返退基金。</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及时足额收缴基金。</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基金收取情况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2、依法使用基金</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使用基金用于宣传、补助新技术、补助农村示范房、淘汰粘土砖补偿等。</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保证基金全部用于墙改工作；</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新墙材项目补助</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用于宣传的费用占返还总额的比例</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财政返还基金比率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十、新墙材生产备案</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办理新墙材企业生产备案、新墙材企业管理。</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规范墙体材料生产企业和墙材市场。</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1、新墙材备案</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审核申请资料、带领专家到企业实地考核。到省办办理备案证书。</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成功办理新墙材企业生产备案证</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省办备案批准率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实地考核合格率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申请材料合格率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2、统计报表</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调研、统计报表</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全面准确掌握全市墙材行业状况</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统计报表优质率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bl>
    <w:p>
      <w:pPr>
        <w:spacing w:line="300" w:lineRule="exact"/>
        <w:jc w:val="left"/>
        <w:outlineLvl w:val="0"/>
        <w:sectPr>
          <w:footerReference r:id="rId6" w:type="default"/>
          <w:pgSz w:w="16839" w:h="11907" w:orient="landscape"/>
          <w:pgMar w:top="1020" w:right="1361" w:bottom="1020" w:left="1361" w:header="851" w:footer="992" w:gutter="0"/>
          <w:pgBorders>
            <w:top w:val="none" w:sz="0" w:space="0"/>
            <w:left w:val="none" w:sz="0" w:space="0"/>
            <w:bottom w:val="none" w:sz="0" w:space="0"/>
            <w:right w:val="none" w:sz="0" w:space="0"/>
          </w:pgBorders>
          <w:cols w:space="425" w:num="1"/>
          <w:docGrid w:type="lines" w:linePitch="312" w:charSpace="0"/>
        </w:sectPr>
      </w:pPr>
    </w:p>
    <w:p>
      <w:pPr>
        <w:ind w:firstLine="640" w:firstLineChars="200"/>
        <w:rPr>
          <w:rFonts w:hint="eastAsia" w:ascii="黑体" w:hAnsi="黑体" w:eastAsia="黑体" w:cs="黑体"/>
          <w:b w:val="0"/>
          <w:bCs/>
          <w:sz w:val="28"/>
        </w:rPr>
      </w:pPr>
      <w:r>
        <w:rPr>
          <w:rFonts w:hint="eastAsia" w:ascii="黑体" w:hAnsi="黑体" w:eastAsia="黑体" w:cs="黑体"/>
          <w:b w:val="0"/>
          <w:bCs/>
          <w:sz w:val="32"/>
          <w:szCs w:val="32"/>
        </w:rPr>
        <w:t>第二部分  专项资金绩效目标</w:t>
      </w:r>
    </w:p>
    <w:p>
      <w:pPr>
        <w:pStyle w:val="21"/>
        <w:numPr>
          <w:ilvl w:val="0"/>
          <w:numId w:val="1"/>
        </w:numPr>
        <w:tabs>
          <w:tab w:val="left" w:pos="756"/>
        </w:tabs>
        <w:spacing w:before="15" w:after="18" w:line="240" w:lineRule="auto"/>
        <w:ind w:left="756" w:right="0" w:hanging="425"/>
        <w:jc w:val="left"/>
        <w:rPr>
          <w:rFonts w:hint="eastAsia" w:ascii="宋体" w:hAnsi="宋体" w:eastAsia="宋体" w:cs="宋体"/>
          <w:sz w:val="32"/>
        </w:rPr>
      </w:pPr>
      <w:r>
        <w:rPr>
          <w:rFonts w:hint="eastAsia" w:ascii="宋体" w:hAnsi="宋体" w:eastAsia="宋体" w:cs="宋体"/>
          <w:sz w:val="32"/>
        </w:rPr>
        <w:t>工业和信息化工作经费项目绩效目标表</w:t>
      </w:r>
    </w:p>
    <w:tbl>
      <w:tblPr>
        <w:tblStyle w:val="9"/>
        <w:tblW w:w="50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1"/>
        <w:gridCol w:w="2259"/>
        <w:gridCol w:w="2481"/>
        <w:gridCol w:w="1444"/>
        <w:gridCol w:w="1444"/>
        <w:gridCol w:w="930"/>
        <w:gridCol w:w="2172"/>
        <w:gridCol w:w="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 w:type="pct"/>
          </w:tcPr>
          <w:p>
            <w:pPr>
              <w:pStyle w:val="22"/>
              <w:spacing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项目编码</w:t>
            </w:r>
          </w:p>
        </w:tc>
        <w:tc>
          <w:tcPr>
            <w:tcW w:w="1687" w:type="pct"/>
            <w:gridSpan w:val="2"/>
          </w:tcPr>
          <w:p>
            <w:pPr>
              <w:pStyle w:val="22"/>
              <w:spacing w:line="240" w:lineRule="auto"/>
              <w:ind w:left="710"/>
              <w:rPr>
                <w:rFonts w:hint="eastAsia" w:ascii="宋体" w:hAnsi="宋体" w:eastAsia="宋体" w:cs="宋体"/>
                <w:b w:val="0"/>
                <w:bCs/>
                <w:sz w:val="21"/>
                <w:szCs w:val="21"/>
              </w:rPr>
            </w:pPr>
            <w:r>
              <w:rPr>
                <w:rFonts w:hint="eastAsia" w:ascii="宋体" w:hAnsi="宋体" w:eastAsia="宋体" w:cs="宋体"/>
                <w:b w:val="0"/>
                <w:bCs/>
                <w:sz w:val="21"/>
                <w:szCs w:val="21"/>
              </w:rPr>
              <w:t>593-0101-JBN-KHS9</w:t>
            </w:r>
          </w:p>
        </w:tc>
        <w:tc>
          <w:tcPr>
            <w:tcW w:w="514" w:type="pct"/>
          </w:tcPr>
          <w:p>
            <w:pPr>
              <w:pStyle w:val="22"/>
              <w:spacing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项目名称</w:t>
            </w:r>
          </w:p>
        </w:tc>
        <w:tc>
          <w:tcPr>
            <w:tcW w:w="2284" w:type="pct"/>
            <w:gridSpan w:val="4"/>
          </w:tcPr>
          <w:p>
            <w:pPr>
              <w:pStyle w:val="22"/>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工业和信息化工作经费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13" w:type="pct"/>
            <w:vAlign w:val="center"/>
          </w:tcPr>
          <w:p>
            <w:pPr>
              <w:pStyle w:val="22"/>
              <w:spacing w:before="39" w:line="240" w:lineRule="auto"/>
              <w:ind w:left="79" w:right="67"/>
              <w:jc w:val="center"/>
              <w:rPr>
                <w:rFonts w:hint="eastAsia" w:ascii="宋体" w:hAnsi="宋体" w:eastAsia="宋体" w:cs="宋体"/>
                <w:b w:val="0"/>
                <w:bCs/>
                <w:sz w:val="21"/>
                <w:szCs w:val="21"/>
              </w:rPr>
            </w:pPr>
            <w:r>
              <w:rPr>
                <w:rFonts w:hint="eastAsia" w:ascii="宋体" w:hAnsi="宋体" w:eastAsia="宋体" w:cs="宋体"/>
                <w:b w:val="0"/>
                <w:bCs/>
                <w:sz w:val="21"/>
                <w:szCs w:val="21"/>
              </w:rPr>
              <w:t>预算规模及资金用</w:t>
            </w:r>
            <w:r>
              <w:rPr>
                <w:rFonts w:hint="eastAsia" w:ascii="宋体" w:hAnsi="宋体" w:eastAsia="宋体" w:cs="宋体"/>
                <w:b w:val="0"/>
                <w:bCs/>
                <w:w w:val="99"/>
                <w:sz w:val="21"/>
                <w:szCs w:val="21"/>
              </w:rPr>
              <w:t>途</w:t>
            </w:r>
          </w:p>
        </w:tc>
        <w:tc>
          <w:tcPr>
            <w:tcW w:w="804" w:type="pct"/>
            <w:vAlign w:val="center"/>
          </w:tcPr>
          <w:p>
            <w:pPr>
              <w:pStyle w:val="22"/>
              <w:spacing w:before="1" w:line="240" w:lineRule="auto"/>
              <w:ind w:left="151"/>
              <w:jc w:val="center"/>
              <w:rPr>
                <w:rFonts w:hint="eastAsia" w:ascii="宋体" w:hAnsi="宋体" w:eastAsia="宋体" w:cs="宋体"/>
                <w:b w:val="0"/>
                <w:bCs/>
                <w:sz w:val="21"/>
                <w:szCs w:val="21"/>
              </w:rPr>
            </w:pPr>
            <w:r>
              <w:rPr>
                <w:rFonts w:hint="eastAsia" w:ascii="宋体" w:hAnsi="宋体" w:eastAsia="宋体" w:cs="宋体"/>
                <w:b w:val="0"/>
                <w:bCs/>
                <w:sz w:val="21"/>
                <w:szCs w:val="21"/>
              </w:rPr>
              <w:t>预算数</w:t>
            </w:r>
          </w:p>
        </w:tc>
        <w:tc>
          <w:tcPr>
            <w:tcW w:w="883" w:type="pct"/>
            <w:vAlign w:val="center"/>
          </w:tcPr>
          <w:p>
            <w:pPr>
              <w:pStyle w:val="22"/>
              <w:spacing w:before="1" w:line="240" w:lineRule="auto"/>
              <w:ind w:right="825"/>
              <w:jc w:val="center"/>
              <w:rPr>
                <w:rFonts w:hint="eastAsia" w:ascii="宋体" w:hAnsi="宋体" w:eastAsia="宋体" w:cs="宋体"/>
                <w:b w:val="0"/>
                <w:bCs/>
                <w:sz w:val="21"/>
                <w:szCs w:val="21"/>
              </w:rPr>
            </w:pPr>
            <w:r>
              <w:rPr>
                <w:rFonts w:hint="eastAsia" w:ascii="宋体" w:hAnsi="宋体" w:eastAsia="宋体" w:cs="宋体"/>
                <w:b w:val="0"/>
                <w:bCs/>
                <w:sz w:val="21"/>
                <w:szCs w:val="21"/>
              </w:rPr>
              <w:t>80.00</w:t>
            </w:r>
          </w:p>
        </w:tc>
        <w:tc>
          <w:tcPr>
            <w:tcW w:w="514" w:type="pct"/>
            <w:vAlign w:val="center"/>
          </w:tcPr>
          <w:p>
            <w:pPr>
              <w:pStyle w:val="22"/>
              <w:spacing w:before="1" w:line="240" w:lineRule="auto"/>
              <w:ind w:left="278" w:right="-15" w:hanging="267"/>
              <w:jc w:val="center"/>
              <w:rPr>
                <w:rFonts w:hint="eastAsia" w:ascii="宋体" w:hAnsi="宋体" w:eastAsia="宋体" w:cs="宋体"/>
                <w:b w:val="0"/>
                <w:bCs/>
                <w:sz w:val="21"/>
                <w:szCs w:val="21"/>
              </w:rPr>
            </w:pPr>
            <w:r>
              <w:rPr>
                <w:rFonts w:hint="eastAsia" w:ascii="宋体" w:hAnsi="宋体" w:eastAsia="宋体" w:cs="宋体"/>
                <w:b w:val="0"/>
                <w:bCs/>
                <w:spacing w:val="-13"/>
                <w:sz w:val="21"/>
                <w:szCs w:val="21"/>
              </w:rPr>
              <w:t>其中：财政资金</w:t>
            </w:r>
          </w:p>
        </w:tc>
        <w:tc>
          <w:tcPr>
            <w:tcW w:w="514" w:type="pct"/>
            <w:vAlign w:val="center"/>
          </w:tcPr>
          <w:p>
            <w:pPr>
              <w:pStyle w:val="22"/>
              <w:spacing w:before="1" w:line="240" w:lineRule="auto"/>
              <w:ind w:left="230"/>
              <w:jc w:val="center"/>
              <w:rPr>
                <w:rFonts w:hint="eastAsia" w:ascii="宋体" w:hAnsi="宋体" w:eastAsia="宋体" w:cs="宋体"/>
                <w:b w:val="0"/>
                <w:bCs/>
                <w:sz w:val="21"/>
                <w:szCs w:val="21"/>
              </w:rPr>
            </w:pPr>
            <w:r>
              <w:rPr>
                <w:rFonts w:hint="eastAsia" w:ascii="宋体" w:hAnsi="宋体" w:eastAsia="宋体" w:cs="宋体"/>
                <w:b w:val="0"/>
                <w:bCs/>
                <w:sz w:val="21"/>
                <w:szCs w:val="21"/>
              </w:rPr>
              <w:t>80.00</w:t>
            </w:r>
          </w:p>
        </w:tc>
        <w:tc>
          <w:tcPr>
            <w:tcW w:w="330" w:type="pct"/>
            <w:vAlign w:val="center"/>
          </w:tcPr>
          <w:p>
            <w:pPr>
              <w:pStyle w:val="22"/>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其他资金</w:t>
            </w:r>
          </w:p>
        </w:tc>
        <w:tc>
          <w:tcPr>
            <w:tcW w:w="1439" w:type="pct"/>
            <w:gridSpan w:val="2"/>
            <w:vAlign w:val="center"/>
          </w:tcPr>
          <w:p>
            <w:pPr>
              <w:pStyle w:val="22"/>
              <w:spacing w:line="240" w:lineRule="auto"/>
              <w:jc w:val="center"/>
              <w:rPr>
                <w:rFonts w:hint="eastAsia" w:ascii="宋体" w:hAnsi="宋体" w:eastAsia="宋体" w:cs="宋体"/>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13" w:type="pct"/>
            <w:vMerge w:val="restart"/>
            <w:vAlign w:val="center"/>
          </w:tcPr>
          <w:p>
            <w:pPr>
              <w:pStyle w:val="22"/>
              <w:spacing w:before="144" w:line="240" w:lineRule="auto"/>
              <w:ind w:left="29" w:right="16" w:firstLine="50"/>
              <w:jc w:val="center"/>
              <w:rPr>
                <w:rFonts w:hint="eastAsia" w:ascii="宋体" w:hAnsi="宋体" w:eastAsia="宋体" w:cs="宋体"/>
                <w:b w:val="0"/>
                <w:bCs/>
                <w:sz w:val="21"/>
                <w:szCs w:val="21"/>
              </w:rPr>
            </w:pPr>
            <w:r>
              <w:rPr>
                <w:rFonts w:hint="eastAsia" w:ascii="宋体" w:hAnsi="宋体" w:eastAsia="宋体" w:cs="宋体"/>
                <w:b w:val="0"/>
                <w:bCs/>
                <w:sz w:val="21"/>
                <w:szCs w:val="21"/>
              </w:rPr>
              <w:t>资金支出计划（%）</w:t>
            </w:r>
          </w:p>
        </w:tc>
        <w:tc>
          <w:tcPr>
            <w:tcW w:w="1687" w:type="pct"/>
            <w:gridSpan w:val="2"/>
          </w:tcPr>
          <w:p>
            <w:pPr>
              <w:pStyle w:val="22"/>
              <w:spacing w:before="132" w:line="240" w:lineRule="auto"/>
              <w:ind w:left="1238" w:right="1228"/>
              <w:jc w:val="center"/>
              <w:rPr>
                <w:rFonts w:hint="eastAsia" w:ascii="宋体" w:hAnsi="宋体" w:eastAsia="宋体" w:cs="宋体"/>
                <w:b w:val="0"/>
                <w:bCs/>
                <w:sz w:val="21"/>
                <w:szCs w:val="21"/>
              </w:rPr>
            </w:pPr>
            <w:r>
              <w:rPr>
                <w:rFonts w:hint="eastAsia" w:ascii="宋体" w:hAnsi="宋体" w:eastAsia="宋体" w:cs="宋体"/>
                <w:b w:val="0"/>
                <w:bCs/>
                <w:sz w:val="21"/>
                <w:szCs w:val="21"/>
              </w:rPr>
              <w:t>3 月底</w:t>
            </w:r>
          </w:p>
        </w:tc>
        <w:tc>
          <w:tcPr>
            <w:tcW w:w="514" w:type="pct"/>
          </w:tcPr>
          <w:p>
            <w:pPr>
              <w:pStyle w:val="22"/>
              <w:spacing w:before="132"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6 月底</w:t>
            </w:r>
          </w:p>
        </w:tc>
        <w:tc>
          <w:tcPr>
            <w:tcW w:w="845" w:type="pct"/>
            <w:gridSpan w:val="2"/>
          </w:tcPr>
          <w:p>
            <w:pPr>
              <w:pStyle w:val="22"/>
              <w:spacing w:before="132" w:line="240" w:lineRule="auto"/>
              <w:ind w:left="633"/>
              <w:rPr>
                <w:rFonts w:hint="eastAsia" w:ascii="宋体" w:hAnsi="宋体" w:eastAsia="宋体" w:cs="宋体"/>
                <w:b w:val="0"/>
                <w:bCs/>
                <w:sz w:val="21"/>
                <w:szCs w:val="21"/>
              </w:rPr>
            </w:pPr>
            <w:r>
              <w:rPr>
                <w:rFonts w:hint="eastAsia" w:ascii="宋体" w:hAnsi="宋体" w:eastAsia="宋体" w:cs="宋体"/>
                <w:b w:val="0"/>
                <w:bCs/>
                <w:sz w:val="21"/>
                <w:szCs w:val="21"/>
              </w:rPr>
              <w:t>10 月底</w:t>
            </w:r>
          </w:p>
        </w:tc>
        <w:tc>
          <w:tcPr>
            <w:tcW w:w="1439" w:type="pct"/>
            <w:gridSpan w:val="2"/>
          </w:tcPr>
          <w:p>
            <w:pPr>
              <w:pStyle w:val="22"/>
              <w:spacing w:before="132" w:line="240" w:lineRule="auto"/>
              <w:ind w:left="762" w:right="752"/>
              <w:jc w:val="center"/>
              <w:rPr>
                <w:rFonts w:hint="eastAsia" w:ascii="宋体" w:hAnsi="宋体" w:eastAsia="宋体" w:cs="宋体"/>
                <w:b w:val="0"/>
                <w:bCs/>
                <w:sz w:val="21"/>
                <w:szCs w:val="21"/>
              </w:rPr>
            </w:pPr>
            <w:r>
              <w:rPr>
                <w:rFonts w:hint="eastAsia" w:ascii="宋体" w:hAnsi="宋体" w:eastAsia="宋体" w:cs="宋体"/>
                <w:b w:val="0"/>
                <w:bCs/>
                <w:sz w:val="21"/>
                <w:szCs w:val="21"/>
              </w:rPr>
              <w:t>12 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1687" w:type="pct"/>
            <w:gridSpan w:val="2"/>
          </w:tcPr>
          <w:p>
            <w:pPr>
              <w:pStyle w:val="22"/>
              <w:spacing w:before="39" w:line="240" w:lineRule="auto"/>
              <w:ind w:left="1237" w:right="1228"/>
              <w:jc w:val="center"/>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514" w:type="pct"/>
          </w:tcPr>
          <w:p>
            <w:pPr>
              <w:pStyle w:val="22"/>
              <w:spacing w:before="39" w:line="240" w:lineRule="auto"/>
              <w:ind w:left="56" w:right="47"/>
              <w:jc w:val="center"/>
              <w:rPr>
                <w:rFonts w:hint="eastAsia" w:ascii="宋体" w:hAnsi="宋体" w:eastAsia="宋体" w:cs="宋体"/>
                <w:b w:val="0"/>
                <w:bCs/>
                <w:sz w:val="21"/>
                <w:szCs w:val="21"/>
              </w:rPr>
            </w:pPr>
            <w:r>
              <w:rPr>
                <w:rFonts w:hint="eastAsia" w:ascii="宋体" w:hAnsi="宋体" w:eastAsia="宋体" w:cs="宋体"/>
                <w:b w:val="0"/>
                <w:bCs/>
                <w:sz w:val="21"/>
                <w:szCs w:val="21"/>
              </w:rPr>
              <w:t>40</w:t>
            </w:r>
          </w:p>
        </w:tc>
        <w:tc>
          <w:tcPr>
            <w:tcW w:w="845" w:type="pct"/>
            <w:gridSpan w:val="2"/>
          </w:tcPr>
          <w:p>
            <w:pPr>
              <w:pStyle w:val="22"/>
              <w:spacing w:before="39" w:line="240" w:lineRule="auto"/>
              <w:ind w:left="789" w:right="780"/>
              <w:jc w:val="center"/>
              <w:rPr>
                <w:rFonts w:hint="eastAsia" w:ascii="宋体" w:hAnsi="宋体" w:eastAsia="宋体" w:cs="宋体"/>
                <w:b w:val="0"/>
                <w:bCs/>
                <w:sz w:val="21"/>
                <w:szCs w:val="21"/>
              </w:rPr>
            </w:pPr>
            <w:r>
              <w:rPr>
                <w:rFonts w:hint="eastAsia" w:ascii="宋体" w:hAnsi="宋体" w:eastAsia="宋体" w:cs="宋体"/>
                <w:b w:val="0"/>
                <w:bCs/>
                <w:sz w:val="21"/>
                <w:szCs w:val="21"/>
              </w:rPr>
              <w:t>80</w:t>
            </w:r>
          </w:p>
        </w:tc>
        <w:tc>
          <w:tcPr>
            <w:tcW w:w="1439" w:type="pct"/>
            <w:gridSpan w:val="2"/>
          </w:tcPr>
          <w:p>
            <w:pPr>
              <w:pStyle w:val="22"/>
              <w:spacing w:before="39" w:line="240" w:lineRule="auto"/>
              <w:ind w:left="761" w:right="752"/>
              <w:jc w:val="center"/>
              <w:rPr>
                <w:rFonts w:hint="eastAsia" w:ascii="宋体" w:hAnsi="宋体" w:eastAsia="宋体" w:cs="宋体"/>
                <w:b w:val="0"/>
                <w:bCs/>
                <w:sz w:val="21"/>
                <w:szCs w:val="21"/>
              </w:rPr>
            </w:pPr>
            <w:r>
              <w:rPr>
                <w:rFonts w:hint="eastAsia" w:ascii="宋体" w:hAnsi="宋体" w:eastAsia="宋体" w:cs="宋体"/>
                <w:b w:val="0"/>
                <w:bCs/>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13" w:type="pct"/>
            <w:vMerge w:val="restart"/>
            <w:vAlign w:val="center"/>
          </w:tcPr>
          <w:p>
            <w:pPr>
              <w:pStyle w:val="22"/>
              <w:spacing w:line="240" w:lineRule="auto"/>
              <w:ind w:left="79"/>
              <w:jc w:val="center"/>
              <w:rPr>
                <w:rFonts w:hint="eastAsia" w:ascii="宋体" w:hAnsi="宋体" w:eastAsia="宋体" w:cs="宋体"/>
                <w:b w:val="0"/>
                <w:bCs/>
                <w:sz w:val="21"/>
                <w:szCs w:val="21"/>
              </w:rPr>
            </w:pPr>
            <w:r>
              <w:rPr>
                <w:rFonts w:hint="eastAsia" w:ascii="宋体" w:hAnsi="宋体" w:eastAsia="宋体" w:cs="宋体"/>
                <w:b w:val="0"/>
                <w:bCs/>
                <w:sz w:val="21"/>
                <w:szCs w:val="21"/>
              </w:rPr>
              <w:t>绩效目标</w:t>
            </w:r>
          </w:p>
        </w:tc>
        <w:tc>
          <w:tcPr>
            <w:tcW w:w="804" w:type="pct"/>
          </w:tcPr>
          <w:p>
            <w:pPr>
              <w:pStyle w:val="22"/>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目标 1</w:t>
            </w:r>
          </w:p>
        </w:tc>
        <w:tc>
          <w:tcPr>
            <w:tcW w:w="3682" w:type="pct"/>
            <w:gridSpan w:val="6"/>
          </w:tcPr>
          <w:p>
            <w:pPr>
              <w:pStyle w:val="22"/>
              <w:spacing w:before="38" w:line="240" w:lineRule="auto"/>
              <w:ind w:left="10"/>
              <w:jc w:val="left"/>
              <w:rPr>
                <w:rFonts w:hint="eastAsia" w:ascii="宋体" w:hAnsi="宋体" w:eastAsia="宋体" w:cs="宋体"/>
                <w:b w:val="0"/>
                <w:bCs/>
                <w:sz w:val="21"/>
                <w:szCs w:val="21"/>
              </w:rPr>
            </w:pPr>
            <w:r>
              <w:rPr>
                <w:rFonts w:hint="eastAsia" w:ascii="宋体" w:hAnsi="宋体" w:eastAsia="宋体" w:cs="宋体"/>
                <w:b w:val="0"/>
                <w:bCs/>
                <w:w w:val="95"/>
                <w:sz w:val="21"/>
                <w:szCs w:val="21"/>
              </w:rPr>
              <w:t>拟定并组织实施全市工业的发展规划，推进产业结构战略性调整和优化升级，推进信</w:t>
            </w:r>
            <w:r>
              <w:rPr>
                <w:rFonts w:hint="eastAsia" w:ascii="宋体" w:hAnsi="宋体" w:eastAsia="宋体" w:cs="宋体"/>
                <w:b w:val="0"/>
                <w:bCs/>
                <w:sz w:val="21"/>
                <w:szCs w:val="21"/>
              </w:rPr>
              <w:t>息化和工业化融合。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tcPr>
          <w:p>
            <w:pPr>
              <w:pStyle w:val="22"/>
              <w:spacing w:before="152"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目标 2</w:t>
            </w:r>
          </w:p>
        </w:tc>
        <w:tc>
          <w:tcPr>
            <w:tcW w:w="3682" w:type="pct"/>
            <w:gridSpan w:val="6"/>
          </w:tcPr>
          <w:p>
            <w:pPr>
              <w:pStyle w:val="22"/>
              <w:spacing w:before="152" w:line="240" w:lineRule="auto"/>
              <w:ind w:left="10"/>
              <w:jc w:val="left"/>
              <w:rPr>
                <w:rFonts w:hint="eastAsia" w:ascii="宋体" w:hAnsi="宋体" w:eastAsia="宋体" w:cs="宋体"/>
                <w:b w:val="0"/>
                <w:bCs/>
                <w:sz w:val="21"/>
                <w:szCs w:val="21"/>
              </w:rPr>
            </w:pPr>
            <w:r>
              <w:rPr>
                <w:rFonts w:hint="eastAsia" w:ascii="宋体" w:hAnsi="宋体" w:eastAsia="宋体" w:cs="宋体"/>
                <w:b w:val="0"/>
                <w:bCs/>
                <w:sz w:val="21"/>
                <w:szCs w:val="21"/>
              </w:rPr>
              <w:t>建立健全民营经济统计和监控分析系统，促进中小企业、民营经济健康发展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13" w:type="pct"/>
            <w:vAlign w:val="center"/>
          </w:tcPr>
          <w:p>
            <w:pPr>
              <w:pStyle w:val="22"/>
              <w:spacing w:before="1"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一级指标</w:t>
            </w:r>
          </w:p>
        </w:tc>
        <w:tc>
          <w:tcPr>
            <w:tcW w:w="804" w:type="pct"/>
          </w:tcPr>
          <w:p>
            <w:pPr>
              <w:pStyle w:val="22"/>
              <w:spacing w:before="1"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二级指标</w:t>
            </w:r>
          </w:p>
        </w:tc>
        <w:tc>
          <w:tcPr>
            <w:tcW w:w="883" w:type="pct"/>
          </w:tcPr>
          <w:p>
            <w:pPr>
              <w:pStyle w:val="22"/>
              <w:spacing w:before="1" w:line="240" w:lineRule="auto"/>
              <w:ind w:left="706"/>
              <w:jc w:val="center"/>
              <w:rPr>
                <w:rFonts w:hint="eastAsia" w:ascii="宋体" w:hAnsi="宋体" w:eastAsia="宋体" w:cs="宋体"/>
                <w:b w:val="0"/>
                <w:bCs/>
                <w:sz w:val="21"/>
                <w:szCs w:val="21"/>
              </w:rPr>
            </w:pPr>
            <w:r>
              <w:rPr>
                <w:rFonts w:hint="eastAsia" w:ascii="宋体" w:hAnsi="宋体" w:eastAsia="宋体" w:cs="宋体"/>
                <w:b w:val="0"/>
                <w:bCs/>
                <w:sz w:val="21"/>
                <w:szCs w:val="21"/>
              </w:rPr>
              <w:t>三级指标</w:t>
            </w:r>
          </w:p>
        </w:tc>
        <w:tc>
          <w:tcPr>
            <w:tcW w:w="1359" w:type="pct"/>
            <w:gridSpan w:val="3"/>
          </w:tcPr>
          <w:p>
            <w:pPr>
              <w:pStyle w:val="22"/>
              <w:spacing w:before="1" w:line="240" w:lineRule="auto"/>
              <w:ind w:left="840"/>
              <w:rPr>
                <w:rFonts w:hint="eastAsia" w:ascii="宋体" w:hAnsi="宋体" w:eastAsia="宋体" w:cs="宋体"/>
                <w:b w:val="0"/>
                <w:bCs/>
                <w:sz w:val="21"/>
                <w:szCs w:val="21"/>
              </w:rPr>
            </w:pPr>
            <w:r>
              <w:rPr>
                <w:rFonts w:hint="eastAsia" w:ascii="宋体" w:hAnsi="宋体" w:eastAsia="宋体" w:cs="宋体"/>
                <w:b w:val="0"/>
                <w:bCs/>
                <w:sz w:val="21"/>
                <w:szCs w:val="21"/>
              </w:rPr>
              <w:t>绩效指标描述</w:t>
            </w:r>
          </w:p>
        </w:tc>
        <w:tc>
          <w:tcPr>
            <w:tcW w:w="773" w:type="pct"/>
          </w:tcPr>
          <w:p>
            <w:pPr>
              <w:pStyle w:val="22"/>
              <w:spacing w:before="1" w:line="240" w:lineRule="auto"/>
              <w:ind w:left="355"/>
              <w:rPr>
                <w:rFonts w:hint="eastAsia" w:ascii="宋体" w:hAnsi="宋体" w:eastAsia="宋体" w:cs="宋体"/>
                <w:b w:val="0"/>
                <w:bCs/>
                <w:sz w:val="21"/>
                <w:szCs w:val="21"/>
              </w:rPr>
            </w:pPr>
            <w:r>
              <w:rPr>
                <w:rFonts w:hint="eastAsia" w:ascii="宋体" w:hAnsi="宋体" w:eastAsia="宋体" w:cs="宋体"/>
                <w:b w:val="0"/>
                <w:bCs/>
                <w:sz w:val="21"/>
                <w:szCs w:val="21"/>
              </w:rPr>
              <w:t>指标值</w:t>
            </w:r>
          </w:p>
        </w:tc>
        <w:tc>
          <w:tcPr>
            <w:tcW w:w="665" w:type="pct"/>
          </w:tcPr>
          <w:p>
            <w:pPr>
              <w:pStyle w:val="22"/>
              <w:spacing w:before="39" w:line="240" w:lineRule="auto"/>
              <w:ind w:left="57" w:right="46"/>
              <w:jc w:val="center"/>
              <w:rPr>
                <w:rFonts w:hint="eastAsia" w:ascii="宋体" w:hAnsi="宋体" w:eastAsia="宋体" w:cs="宋体"/>
                <w:b w:val="0"/>
                <w:bCs/>
                <w:sz w:val="21"/>
                <w:szCs w:val="21"/>
              </w:rPr>
            </w:pPr>
            <w:r>
              <w:rPr>
                <w:rFonts w:hint="eastAsia" w:ascii="宋体" w:hAnsi="宋体" w:eastAsia="宋体" w:cs="宋体"/>
                <w:b w:val="0"/>
                <w:bCs/>
                <w:sz w:val="21"/>
                <w:szCs w:val="21"/>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13" w:type="pct"/>
            <w:vMerge w:val="restart"/>
            <w:vAlign w:val="center"/>
          </w:tcPr>
          <w:p>
            <w:pPr>
              <w:pStyle w:val="22"/>
              <w:spacing w:line="240" w:lineRule="auto"/>
              <w:ind w:left="79"/>
              <w:jc w:val="center"/>
              <w:rPr>
                <w:rFonts w:hint="eastAsia" w:ascii="宋体" w:hAnsi="宋体" w:eastAsia="宋体" w:cs="宋体"/>
                <w:b w:val="0"/>
                <w:bCs/>
                <w:sz w:val="21"/>
                <w:szCs w:val="21"/>
              </w:rPr>
            </w:pPr>
            <w:r>
              <w:rPr>
                <w:rFonts w:hint="eastAsia" w:ascii="宋体" w:hAnsi="宋体" w:eastAsia="宋体" w:cs="宋体"/>
                <w:b w:val="0"/>
                <w:bCs/>
                <w:sz w:val="21"/>
                <w:szCs w:val="21"/>
              </w:rPr>
              <w:t>产出指标</w:t>
            </w:r>
          </w:p>
        </w:tc>
        <w:tc>
          <w:tcPr>
            <w:tcW w:w="804" w:type="pct"/>
            <w:vAlign w:val="center"/>
          </w:tcPr>
          <w:p>
            <w:pPr>
              <w:pStyle w:val="22"/>
              <w:spacing w:before="48"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数量指标</w:t>
            </w:r>
          </w:p>
        </w:tc>
        <w:tc>
          <w:tcPr>
            <w:tcW w:w="883" w:type="pct"/>
            <w:vAlign w:val="center"/>
          </w:tcPr>
          <w:p>
            <w:pPr>
              <w:pStyle w:val="22"/>
              <w:spacing w:before="60"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新增规上工业企业数量</w:t>
            </w:r>
          </w:p>
        </w:tc>
        <w:tc>
          <w:tcPr>
            <w:tcW w:w="1359" w:type="pct"/>
            <w:gridSpan w:val="3"/>
            <w:vAlign w:val="center"/>
          </w:tcPr>
          <w:p>
            <w:pPr>
              <w:pStyle w:val="22"/>
              <w:spacing w:before="60"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新增规上工业企业数量</w:t>
            </w:r>
          </w:p>
        </w:tc>
        <w:tc>
          <w:tcPr>
            <w:tcW w:w="773" w:type="pct"/>
            <w:vAlign w:val="center"/>
          </w:tcPr>
          <w:p>
            <w:pPr>
              <w:pStyle w:val="22"/>
              <w:spacing w:before="48" w:line="240" w:lineRule="auto"/>
              <w:ind w:right="318"/>
              <w:jc w:val="center"/>
              <w:rPr>
                <w:rFonts w:hint="eastAsia" w:ascii="宋体" w:hAnsi="宋体" w:eastAsia="宋体" w:cs="宋体"/>
                <w:b w:val="0"/>
                <w:bCs/>
                <w:sz w:val="21"/>
                <w:szCs w:val="21"/>
              </w:rPr>
            </w:pPr>
            <w:r>
              <w:rPr>
                <w:rFonts w:hint="eastAsia" w:ascii="宋体" w:hAnsi="宋体" w:eastAsia="宋体" w:cs="宋体"/>
                <w:b w:val="0"/>
                <w:bCs/>
                <w:sz w:val="21"/>
                <w:szCs w:val="21"/>
              </w:rPr>
              <w:t>≥30 个</w:t>
            </w:r>
          </w:p>
        </w:tc>
        <w:tc>
          <w:tcPr>
            <w:tcW w:w="665" w:type="pct"/>
            <w:vAlign w:val="center"/>
          </w:tcPr>
          <w:p>
            <w:pPr>
              <w:pStyle w:val="22"/>
              <w:spacing w:before="60"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vAlign w:val="center"/>
          </w:tcPr>
          <w:p>
            <w:pPr>
              <w:pStyle w:val="22"/>
              <w:spacing w:before="48"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质量指标</w:t>
            </w:r>
          </w:p>
        </w:tc>
        <w:tc>
          <w:tcPr>
            <w:tcW w:w="883" w:type="pct"/>
            <w:vAlign w:val="center"/>
          </w:tcPr>
          <w:p>
            <w:pPr>
              <w:pStyle w:val="22"/>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检查督导完成率</w:t>
            </w:r>
          </w:p>
        </w:tc>
        <w:tc>
          <w:tcPr>
            <w:tcW w:w="1359" w:type="pct"/>
            <w:gridSpan w:val="3"/>
            <w:vAlign w:val="center"/>
          </w:tcPr>
          <w:p>
            <w:pPr>
              <w:pStyle w:val="22"/>
              <w:spacing w:before="48"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检查督导完成率</w:t>
            </w:r>
          </w:p>
        </w:tc>
        <w:tc>
          <w:tcPr>
            <w:tcW w:w="773" w:type="pct"/>
            <w:vAlign w:val="center"/>
          </w:tcPr>
          <w:p>
            <w:pPr>
              <w:pStyle w:val="22"/>
              <w:spacing w:before="48" w:line="240" w:lineRule="auto"/>
              <w:ind w:left="403"/>
              <w:jc w:val="both"/>
              <w:rPr>
                <w:rFonts w:hint="eastAsia" w:ascii="宋体" w:hAnsi="宋体" w:eastAsia="宋体" w:cs="宋体"/>
                <w:b w:val="0"/>
                <w:bCs/>
                <w:sz w:val="21"/>
                <w:szCs w:val="21"/>
              </w:rPr>
            </w:pPr>
            <w:r>
              <w:rPr>
                <w:rFonts w:hint="eastAsia" w:ascii="宋体" w:hAnsi="宋体" w:eastAsia="宋体" w:cs="宋体"/>
                <w:b w:val="0"/>
                <w:bCs/>
                <w:sz w:val="21"/>
                <w:szCs w:val="21"/>
              </w:rPr>
              <w:t>≥80%</w:t>
            </w:r>
          </w:p>
        </w:tc>
        <w:tc>
          <w:tcPr>
            <w:tcW w:w="665" w:type="pct"/>
            <w:vAlign w:val="center"/>
          </w:tcPr>
          <w:p>
            <w:pPr>
              <w:pStyle w:val="22"/>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vAlign w:val="center"/>
          </w:tcPr>
          <w:p>
            <w:pPr>
              <w:pStyle w:val="22"/>
              <w:spacing w:before="48"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时效指标</w:t>
            </w:r>
          </w:p>
        </w:tc>
        <w:tc>
          <w:tcPr>
            <w:tcW w:w="883" w:type="pct"/>
            <w:vAlign w:val="center"/>
          </w:tcPr>
          <w:p>
            <w:pPr>
              <w:pStyle w:val="22"/>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各项工作完成及时率</w:t>
            </w:r>
          </w:p>
        </w:tc>
        <w:tc>
          <w:tcPr>
            <w:tcW w:w="1359" w:type="pct"/>
            <w:gridSpan w:val="3"/>
            <w:vAlign w:val="center"/>
          </w:tcPr>
          <w:p>
            <w:pPr>
              <w:pStyle w:val="22"/>
              <w:spacing w:before="48"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各项工作完成及时率</w:t>
            </w:r>
          </w:p>
        </w:tc>
        <w:tc>
          <w:tcPr>
            <w:tcW w:w="773" w:type="pct"/>
            <w:vAlign w:val="center"/>
          </w:tcPr>
          <w:p>
            <w:pPr>
              <w:pStyle w:val="22"/>
              <w:spacing w:before="48" w:line="240" w:lineRule="auto"/>
              <w:ind w:left="403"/>
              <w:jc w:val="both"/>
              <w:rPr>
                <w:rFonts w:hint="eastAsia" w:ascii="宋体" w:hAnsi="宋体" w:eastAsia="宋体" w:cs="宋体"/>
                <w:b w:val="0"/>
                <w:bCs/>
                <w:sz w:val="21"/>
                <w:szCs w:val="21"/>
              </w:rPr>
            </w:pPr>
            <w:r>
              <w:rPr>
                <w:rFonts w:hint="eastAsia" w:ascii="宋体" w:hAnsi="宋体" w:eastAsia="宋体" w:cs="宋体"/>
                <w:b w:val="0"/>
                <w:bCs/>
                <w:sz w:val="21"/>
                <w:szCs w:val="21"/>
              </w:rPr>
              <w:t>≥90%</w:t>
            </w:r>
          </w:p>
        </w:tc>
        <w:tc>
          <w:tcPr>
            <w:tcW w:w="665" w:type="pct"/>
            <w:vAlign w:val="center"/>
          </w:tcPr>
          <w:p>
            <w:pPr>
              <w:pStyle w:val="22"/>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vAlign w:val="center"/>
          </w:tcPr>
          <w:p>
            <w:pPr>
              <w:pStyle w:val="22"/>
              <w:spacing w:before="49"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成本指标</w:t>
            </w:r>
          </w:p>
        </w:tc>
        <w:tc>
          <w:tcPr>
            <w:tcW w:w="883" w:type="pct"/>
            <w:vAlign w:val="center"/>
          </w:tcPr>
          <w:p>
            <w:pPr>
              <w:pStyle w:val="22"/>
              <w:spacing w:before="62"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成本控制率</w:t>
            </w:r>
          </w:p>
        </w:tc>
        <w:tc>
          <w:tcPr>
            <w:tcW w:w="1359" w:type="pct"/>
            <w:gridSpan w:val="3"/>
            <w:vAlign w:val="center"/>
          </w:tcPr>
          <w:p>
            <w:pPr>
              <w:pStyle w:val="22"/>
              <w:spacing w:before="49"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专项工作经费控制率</w:t>
            </w:r>
          </w:p>
        </w:tc>
        <w:tc>
          <w:tcPr>
            <w:tcW w:w="773" w:type="pct"/>
            <w:vAlign w:val="center"/>
          </w:tcPr>
          <w:p>
            <w:pPr>
              <w:pStyle w:val="22"/>
              <w:spacing w:before="49" w:line="240" w:lineRule="auto"/>
              <w:ind w:right="318"/>
              <w:jc w:val="center"/>
              <w:rPr>
                <w:rFonts w:hint="eastAsia" w:ascii="宋体" w:hAnsi="宋体" w:eastAsia="宋体" w:cs="宋体"/>
                <w:b w:val="0"/>
                <w:bCs/>
                <w:sz w:val="21"/>
                <w:szCs w:val="21"/>
              </w:rPr>
            </w:pPr>
            <w:r>
              <w:rPr>
                <w:rFonts w:hint="eastAsia" w:ascii="宋体" w:hAnsi="宋体" w:eastAsia="宋体" w:cs="宋体"/>
                <w:b w:val="0"/>
                <w:bCs/>
                <w:sz w:val="21"/>
                <w:szCs w:val="21"/>
              </w:rPr>
              <w:t>≤80 万</w:t>
            </w:r>
          </w:p>
        </w:tc>
        <w:tc>
          <w:tcPr>
            <w:tcW w:w="665" w:type="pct"/>
            <w:vAlign w:val="center"/>
          </w:tcPr>
          <w:p>
            <w:pPr>
              <w:pStyle w:val="22"/>
              <w:spacing w:before="62"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3" w:type="pct"/>
            <w:vMerge w:val="restart"/>
            <w:vAlign w:val="center"/>
          </w:tcPr>
          <w:p>
            <w:pPr>
              <w:pStyle w:val="22"/>
              <w:spacing w:line="240" w:lineRule="auto"/>
              <w:jc w:val="center"/>
              <w:rPr>
                <w:rFonts w:hint="eastAsia" w:ascii="宋体" w:hAnsi="宋体" w:eastAsia="宋体" w:cs="宋体"/>
                <w:b w:val="0"/>
                <w:bCs/>
                <w:sz w:val="21"/>
                <w:szCs w:val="21"/>
              </w:rPr>
            </w:pPr>
          </w:p>
          <w:p>
            <w:pPr>
              <w:pStyle w:val="22"/>
              <w:spacing w:line="240" w:lineRule="auto"/>
              <w:ind w:left="79"/>
              <w:jc w:val="center"/>
              <w:rPr>
                <w:rFonts w:hint="eastAsia" w:ascii="宋体" w:hAnsi="宋体" w:eastAsia="宋体" w:cs="宋体"/>
                <w:b w:val="0"/>
                <w:bCs/>
                <w:sz w:val="21"/>
                <w:szCs w:val="21"/>
              </w:rPr>
            </w:pPr>
            <w:r>
              <w:rPr>
                <w:rFonts w:hint="eastAsia" w:ascii="宋体" w:hAnsi="宋体" w:eastAsia="宋体" w:cs="宋体"/>
                <w:b w:val="0"/>
                <w:bCs/>
                <w:sz w:val="21"/>
                <w:szCs w:val="21"/>
              </w:rPr>
              <w:t>效果指标</w:t>
            </w:r>
          </w:p>
        </w:tc>
        <w:tc>
          <w:tcPr>
            <w:tcW w:w="804" w:type="pct"/>
            <w:vAlign w:val="center"/>
          </w:tcPr>
          <w:p>
            <w:pPr>
              <w:pStyle w:val="22"/>
              <w:spacing w:before="40" w:line="240" w:lineRule="auto"/>
              <w:ind w:left="30" w:right="24"/>
              <w:jc w:val="center"/>
              <w:rPr>
                <w:rFonts w:hint="eastAsia" w:ascii="宋体" w:hAnsi="宋体" w:eastAsia="宋体" w:cs="宋体"/>
                <w:b w:val="0"/>
                <w:bCs/>
                <w:sz w:val="21"/>
                <w:szCs w:val="21"/>
              </w:rPr>
            </w:pPr>
            <w:r>
              <w:rPr>
                <w:rFonts w:hint="eastAsia" w:ascii="宋体" w:hAnsi="宋体" w:eastAsia="宋体" w:cs="宋体"/>
                <w:b w:val="0"/>
                <w:bCs/>
                <w:sz w:val="21"/>
                <w:szCs w:val="21"/>
              </w:rPr>
              <w:t>经济效益指标</w:t>
            </w:r>
          </w:p>
        </w:tc>
        <w:tc>
          <w:tcPr>
            <w:tcW w:w="883"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未涉及</w:t>
            </w:r>
          </w:p>
        </w:tc>
        <w:tc>
          <w:tcPr>
            <w:tcW w:w="1359" w:type="pct"/>
            <w:gridSpan w:val="3"/>
            <w:vAlign w:val="center"/>
          </w:tcPr>
          <w:p>
            <w:pPr>
              <w:pStyle w:val="22"/>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未涉及</w:t>
            </w:r>
          </w:p>
        </w:tc>
        <w:tc>
          <w:tcPr>
            <w:tcW w:w="773" w:type="pct"/>
            <w:vAlign w:val="center"/>
          </w:tcPr>
          <w:p>
            <w:pPr>
              <w:pStyle w:val="22"/>
              <w:spacing w:before="8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未涉及</w:t>
            </w:r>
          </w:p>
        </w:tc>
        <w:tc>
          <w:tcPr>
            <w:tcW w:w="665"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13" w:type="pct"/>
            <w:vMerge w:val="continue"/>
            <w:tcBorders>
              <w:top w:val="nil"/>
            </w:tcBorders>
          </w:tcPr>
          <w:p>
            <w:pPr>
              <w:spacing w:line="240" w:lineRule="auto"/>
              <w:rPr>
                <w:rFonts w:hint="eastAsia" w:ascii="宋体" w:hAnsi="宋体" w:eastAsia="宋体" w:cs="宋体"/>
                <w:b w:val="0"/>
                <w:bCs/>
                <w:sz w:val="21"/>
                <w:szCs w:val="21"/>
              </w:rPr>
            </w:pPr>
          </w:p>
        </w:tc>
        <w:tc>
          <w:tcPr>
            <w:tcW w:w="804" w:type="pct"/>
            <w:vAlign w:val="center"/>
          </w:tcPr>
          <w:p>
            <w:pPr>
              <w:pStyle w:val="22"/>
              <w:spacing w:before="39" w:line="240" w:lineRule="auto"/>
              <w:ind w:left="30" w:right="24"/>
              <w:jc w:val="center"/>
              <w:rPr>
                <w:rFonts w:hint="eastAsia" w:ascii="宋体" w:hAnsi="宋体" w:eastAsia="宋体" w:cs="宋体"/>
                <w:b w:val="0"/>
                <w:bCs/>
                <w:sz w:val="21"/>
                <w:szCs w:val="21"/>
              </w:rPr>
            </w:pPr>
            <w:r>
              <w:rPr>
                <w:rFonts w:hint="eastAsia" w:ascii="宋体" w:hAnsi="宋体" w:eastAsia="宋体" w:cs="宋体"/>
                <w:b w:val="0"/>
                <w:bCs/>
                <w:sz w:val="21"/>
                <w:szCs w:val="21"/>
              </w:rPr>
              <w:t>社会效益指标</w:t>
            </w:r>
          </w:p>
        </w:tc>
        <w:tc>
          <w:tcPr>
            <w:tcW w:w="883"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对经济发展的促进作用</w:t>
            </w:r>
          </w:p>
        </w:tc>
        <w:tc>
          <w:tcPr>
            <w:tcW w:w="1359" w:type="pct"/>
            <w:gridSpan w:val="3"/>
            <w:vAlign w:val="center"/>
          </w:tcPr>
          <w:p>
            <w:pPr>
              <w:pStyle w:val="22"/>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对经济发展的促进作用</w:t>
            </w:r>
          </w:p>
        </w:tc>
        <w:tc>
          <w:tcPr>
            <w:tcW w:w="773" w:type="pct"/>
            <w:vAlign w:val="center"/>
          </w:tcPr>
          <w:p>
            <w:pPr>
              <w:pStyle w:val="22"/>
              <w:spacing w:before="8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对经济发展的促进作用</w:t>
            </w:r>
          </w:p>
        </w:tc>
        <w:tc>
          <w:tcPr>
            <w:tcW w:w="665"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13" w:type="pct"/>
            <w:vMerge w:val="continue"/>
            <w:tcBorders>
              <w:top w:val="nil"/>
            </w:tcBorders>
          </w:tcPr>
          <w:p>
            <w:pPr>
              <w:spacing w:line="240" w:lineRule="auto"/>
              <w:rPr>
                <w:rFonts w:hint="eastAsia" w:ascii="宋体" w:hAnsi="宋体" w:eastAsia="宋体" w:cs="宋体"/>
                <w:b w:val="0"/>
                <w:bCs/>
                <w:sz w:val="21"/>
                <w:szCs w:val="21"/>
              </w:rPr>
            </w:pPr>
          </w:p>
        </w:tc>
        <w:tc>
          <w:tcPr>
            <w:tcW w:w="804" w:type="pct"/>
            <w:vAlign w:val="center"/>
          </w:tcPr>
          <w:p>
            <w:pPr>
              <w:pStyle w:val="22"/>
              <w:spacing w:before="38" w:line="240" w:lineRule="auto"/>
              <w:ind w:left="30" w:right="24"/>
              <w:jc w:val="center"/>
              <w:rPr>
                <w:rFonts w:hint="eastAsia" w:ascii="宋体" w:hAnsi="宋体" w:eastAsia="宋体" w:cs="宋体"/>
                <w:b w:val="0"/>
                <w:bCs/>
                <w:sz w:val="21"/>
                <w:szCs w:val="21"/>
              </w:rPr>
            </w:pPr>
            <w:r>
              <w:rPr>
                <w:rFonts w:hint="eastAsia" w:ascii="宋体" w:hAnsi="宋体" w:eastAsia="宋体" w:cs="宋体"/>
                <w:b w:val="0"/>
                <w:bCs/>
                <w:sz w:val="21"/>
                <w:szCs w:val="21"/>
              </w:rPr>
              <w:t>生态效益指标</w:t>
            </w:r>
          </w:p>
        </w:tc>
        <w:tc>
          <w:tcPr>
            <w:tcW w:w="883"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促进生态文明建设，推动绿色发展</w:t>
            </w:r>
          </w:p>
        </w:tc>
        <w:tc>
          <w:tcPr>
            <w:tcW w:w="1359" w:type="pct"/>
            <w:gridSpan w:val="3"/>
            <w:vAlign w:val="center"/>
          </w:tcPr>
          <w:p>
            <w:pPr>
              <w:pStyle w:val="22"/>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促进生态文明建设，推动绿色发展</w:t>
            </w:r>
          </w:p>
        </w:tc>
        <w:tc>
          <w:tcPr>
            <w:tcW w:w="773" w:type="pct"/>
            <w:vAlign w:val="center"/>
          </w:tcPr>
          <w:p>
            <w:pPr>
              <w:pStyle w:val="22"/>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促进生态文明建设，推动绿色发展</w:t>
            </w:r>
          </w:p>
        </w:tc>
        <w:tc>
          <w:tcPr>
            <w:tcW w:w="665"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3" w:hRule="atLeast"/>
        </w:trPr>
        <w:tc>
          <w:tcPr>
            <w:tcW w:w="513" w:type="pct"/>
            <w:vMerge w:val="continue"/>
            <w:tcBorders>
              <w:top w:val="nil"/>
            </w:tcBorders>
          </w:tcPr>
          <w:p>
            <w:pPr>
              <w:spacing w:line="240" w:lineRule="auto"/>
              <w:rPr>
                <w:rFonts w:hint="eastAsia" w:ascii="宋体" w:hAnsi="宋体" w:eastAsia="宋体" w:cs="宋体"/>
                <w:b w:val="0"/>
                <w:bCs/>
                <w:sz w:val="21"/>
                <w:szCs w:val="21"/>
              </w:rPr>
            </w:pPr>
          </w:p>
        </w:tc>
        <w:tc>
          <w:tcPr>
            <w:tcW w:w="804" w:type="pct"/>
            <w:vAlign w:val="center"/>
          </w:tcPr>
          <w:p>
            <w:pPr>
              <w:pStyle w:val="22"/>
              <w:spacing w:line="240" w:lineRule="auto"/>
              <w:ind w:left="252" w:right="42" w:hanging="202"/>
              <w:jc w:val="center"/>
              <w:rPr>
                <w:rFonts w:hint="eastAsia" w:ascii="宋体" w:hAnsi="宋体" w:eastAsia="宋体" w:cs="宋体"/>
                <w:b w:val="0"/>
                <w:bCs/>
                <w:sz w:val="21"/>
                <w:szCs w:val="21"/>
              </w:rPr>
            </w:pPr>
            <w:r>
              <w:rPr>
                <w:rFonts w:hint="eastAsia" w:ascii="宋体" w:hAnsi="宋体" w:eastAsia="宋体" w:cs="宋体"/>
                <w:b w:val="0"/>
                <w:bCs/>
                <w:sz w:val="21"/>
                <w:szCs w:val="21"/>
              </w:rPr>
              <w:t>可持续性影响</w:t>
            </w:r>
          </w:p>
        </w:tc>
        <w:tc>
          <w:tcPr>
            <w:tcW w:w="883" w:type="pct"/>
            <w:vAlign w:val="center"/>
          </w:tcPr>
          <w:p>
            <w:pPr>
              <w:pStyle w:val="22"/>
              <w:spacing w:line="240" w:lineRule="auto"/>
              <w:ind w:left="10" w:right="33"/>
              <w:jc w:val="center"/>
              <w:rPr>
                <w:rFonts w:hint="eastAsia" w:ascii="宋体" w:hAnsi="宋体" w:eastAsia="宋体" w:cs="宋体"/>
                <w:b w:val="0"/>
                <w:bCs/>
                <w:sz w:val="21"/>
                <w:szCs w:val="21"/>
              </w:rPr>
            </w:pPr>
            <w:r>
              <w:rPr>
                <w:rFonts w:hint="eastAsia" w:ascii="宋体" w:hAnsi="宋体" w:eastAsia="宋体" w:cs="宋体"/>
                <w:b w:val="0"/>
                <w:bCs/>
                <w:sz w:val="21"/>
                <w:szCs w:val="21"/>
              </w:rPr>
              <w:t>保障业务正常运行</w:t>
            </w:r>
          </w:p>
        </w:tc>
        <w:tc>
          <w:tcPr>
            <w:tcW w:w="1359" w:type="pct"/>
            <w:gridSpan w:val="3"/>
            <w:vAlign w:val="center"/>
          </w:tcPr>
          <w:p>
            <w:pPr>
              <w:pStyle w:val="22"/>
              <w:spacing w:line="240" w:lineRule="auto"/>
              <w:ind w:left="9" w:right="59"/>
              <w:jc w:val="center"/>
              <w:rPr>
                <w:rFonts w:hint="eastAsia" w:ascii="宋体" w:hAnsi="宋体" w:eastAsia="宋体" w:cs="宋体"/>
                <w:b w:val="0"/>
                <w:bCs/>
                <w:sz w:val="21"/>
                <w:szCs w:val="21"/>
              </w:rPr>
            </w:pPr>
            <w:r>
              <w:rPr>
                <w:rFonts w:hint="eastAsia" w:ascii="宋体" w:hAnsi="宋体" w:eastAsia="宋体" w:cs="宋体"/>
                <w:b w:val="0"/>
                <w:bCs/>
                <w:sz w:val="21"/>
                <w:szCs w:val="21"/>
              </w:rPr>
              <w:t>保障业务正常运行</w:t>
            </w:r>
          </w:p>
        </w:tc>
        <w:tc>
          <w:tcPr>
            <w:tcW w:w="773" w:type="pct"/>
            <w:vAlign w:val="center"/>
          </w:tcPr>
          <w:p>
            <w:pPr>
              <w:pStyle w:val="22"/>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保障业务正常运行</w:t>
            </w:r>
          </w:p>
        </w:tc>
        <w:tc>
          <w:tcPr>
            <w:tcW w:w="665"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3" w:type="pct"/>
          </w:tcPr>
          <w:p>
            <w:pPr>
              <w:pStyle w:val="22"/>
              <w:spacing w:before="1" w:line="240" w:lineRule="auto"/>
              <w:ind w:left="379" w:right="67" w:hanging="300"/>
              <w:rPr>
                <w:rFonts w:hint="eastAsia" w:ascii="宋体" w:hAnsi="宋体" w:eastAsia="宋体" w:cs="宋体"/>
                <w:b w:val="0"/>
                <w:bCs/>
                <w:sz w:val="21"/>
                <w:szCs w:val="21"/>
              </w:rPr>
            </w:pPr>
            <w:r>
              <w:rPr>
                <w:rFonts w:hint="eastAsia" w:ascii="宋体" w:hAnsi="宋体" w:eastAsia="宋体" w:cs="宋体"/>
                <w:b w:val="0"/>
                <w:bCs/>
                <w:sz w:val="21"/>
                <w:szCs w:val="21"/>
              </w:rPr>
              <w:t>满意度指标</w:t>
            </w:r>
          </w:p>
        </w:tc>
        <w:tc>
          <w:tcPr>
            <w:tcW w:w="804" w:type="pct"/>
            <w:vAlign w:val="center"/>
          </w:tcPr>
          <w:p>
            <w:pPr>
              <w:pStyle w:val="22"/>
              <w:spacing w:before="39" w:line="240" w:lineRule="auto"/>
              <w:ind w:left="9" w:right="83"/>
              <w:jc w:val="center"/>
              <w:rPr>
                <w:rFonts w:hint="eastAsia" w:ascii="宋体" w:hAnsi="宋体" w:eastAsia="宋体" w:cs="宋体"/>
                <w:b w:val="0"/>
                <w:bCs/>
                <w:sz w:val="21"/>
                <w:szCs w:val="21"/>
              </w:rPr>
            </w:pPr>
            <w:r>
              <w:rPr>
                <w:rFonts w:hint="eastAsia" w:ascii="宋体" w:hAnsi="宋体" w:eastAsia="宋体" w:cs="宋体"/>
                <w:b w:val="0"/>
                <w:bCs/>
                <w:sz w:val="21"/>
                <w:szCs w:val="21"/>
              </w:rPr>
              <w:t>服务对象满意度指</w:t>
            </w:r>
            <w:r>
              <w:rPr>
                <w:rFonts w:hint="eastAsia" w:ascii="宋体" w:hAnsi="宋体" w:eastAsia="宋体" w:cs="宋体"/>
                <w:b w:val="0"/>
                <w:bCs/>
                <w:w w:val="99"/>
                <w:sz w:val="21"/>
                <w:szCs w:val="21"/>
              </w:rPr>
              <w:t>标</w:t>
            </w:r>
          </w:p>
        </w:tc>
        <w:tc>
          <w:tcPr>
            <w:tcW w:w="883"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企业满意度</w:t>
            </w:r>
          </w:p>
        </w:tc>
        <w:tc>
          <w:tcPr>
            <w:tcW w:w="1359" w:type="pct"/>
            <w:gridSpan w:val="3"/>
            <w:vAlign w:val="center"/>
          </w:tcPr>
          <w:p>
            <w:pPr>
              <w:pStyle w:val="22"/>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企业满意度</w:t>
            </w:r>
          </w:p>
        </w:tc>
        <w:tc>
          <w:tcPr>
            <w:tcW w:w="773" w:type="pct"/>
            <w:vAlign w:val="center"/>
          </w:tcPr>
          <w:p>
            <w:pPr>
              <w:pStyle w:val="22"/>
              <w:spacing w:before="1" w:line="240" w:lineRule="auto"/>
              <w:ind w:left="403"/>
              <w:jc w:val="both"/>
              <w:rPr>
                <w:rFonts w:hint="eastAsia" w:ascii="宋体" w:hAnsi="宋体" w:eastAsia="宋体" w:cs="宋体"/>
                <w:b w:val="0"/>
                <w:bCs/>
                <w:sz w:val="21"/>
                <w:szCs w:val="21"/>
              </w:rPr>
            </w:pPr>
            <w:r>
              <w:rPr>
                <w:rFonts w:hint="eastAsia" w:ascii="宋体" w:hAnsi="宋体" w:eastAsia="宋体" w:cs="宋体"/>
                <w:b w:val="0"/>
                <w:bCs/>
                <w:sz w:val="21"/>
                <w:szCs w:val="21"/>
              </w:rPr>
              <w:t>≥90%</w:t>
            </w:r>
          </w:p>
        </w:tc>
        <w:tc>
          <w:tcPr>
            <w:tcW w:w="665"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bookmarkEnd w:id="0"/>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hint="eastAsia" w:ascii="仿宋_GB2312" w:hAnsi="仿宋_GB2312" w:eastAsia="仿宋_GB2312" w:cs="仿宋_GB2312"/>
          <w:sz w:val="32"/>
          <w:szCs w:val="24"/>
        </w:rPr>
      </w:pPr>
      <w:bookmarkStart w:id="2" w:name="_Toc471398468"/>
      <w:r>
        <w:rPr>
          <w:rFonts w:hint="eastAsia" w:ascii="仿宋_GB2312" w:hAnsi="仿宋_GB2312" w:eastAsia="仿宋_GB2312" w:cs="仿宋_GB2312"/>
          <w:sz w:val="32"/>
          <w:szCs w:val="24"/>
        </w:rPr>
        <w:t xml:space="preserve">   20</w:t>
      </w:r>
      <w:r>
        <w:rPr>
          <w:rFonts w:hint="eastAsia" w:ascii="仿宋_GB2312" w:hAnsi="仿宋_GB2312" w:eastAsia="仿宋_GB2312" w:cs="仿宋_GB2312"/>
          <w:sz w:val="32"/>
          <w:szCs w:val="24"/>
          <w:lang w:val="en-US" w:eastAsia="zh-CN"/>
        </w:rPr>
        <w:t>21</w:t>
      </w:r>
      <w:r>
        <w:rPr>
          <w:rFonts w:hint="eastAsia" w:ascii="仿宋_GB2312" w:hAnsi="仿宋_GB2312" w:eastAsia="仿宋_GB2312" w:cs="仿宋_GB2312"/>
          <w:sz w:val="32"/>
          <w:szCs w:val="24"/>
        </w:rPr>
        <w:t>年，安排政府采购预算</w:t>
      </w:r>
      <w:r>
        <w:rPr>
          <w:rFonts w:hint="eastAsia" w:ascii="仿宋_GB2312" w:hAnsi="仿宋_GB2312" w:eastAsia="仿宋_GB2312" w:cs="仿宋_GB2312"/>
          <w:sz w:val="32"/>
          <w:szCs w:val="24"/>
          <w:lang w:val="en-US" w:eastAsia="zh-CN"/>
        </w:rPr>
        <w:t>113.20</w:t>
      </w:r>
      <w:r>
        <w:rPr>
          <w:rFonts w:hint="eastAsia" w:ascii="仿宋_GB2312" w:hAnsi="仿宋_GB2312" w:eastAsia="仿宋_GB2312" w:cs="仿宋_GB2312"/>
          <w:sz w:val="32"/>
          <w:szCs w:val="24"/>
        </w:rPr>
        <w:t>万元。具体内容见下表。</w:t>
      </w:r>
    </w:p>
    <w:p>
      <w:pPr>
        <w:jc w:val="center"/>
        <w:outlineLvl w:val="0"/>
        <w:rPr>
          <w:rFonts w:hint="eastAsia" w:asciiTheme="minorEastAsia" w:hAnsiTheme="minorEastAsia" w:eastAsiaTheme="minorEastAsia" w:cstheme="minorEastAsia"/>
          <w:b w:val="0"/>
          <w:bCs w:val="0"/>
          <w:sz w:val="32"/>
        </w:rPr>
      </w:pPr>
      <w:bookmarkStart w:id="3" w:name="_Toc536802299"/>
      <w:r>
        <w:rPr>
          <w:rFonts w:hint="eastAsia" w:asciiTheme="minorEastAsia" w:hAnsiTheme="minorEastAsia" w:eastAsiaTheme="minorEastAsia" w:cstheme="minorEastAsia"/>
          <w:b w:val="0"/>
          <w:bCs w:val="0"/>
          <w:sz w:val="32"/>
        </w:rPr>
        <w:t>部门政府采购预算</w:t>
      </w:r>
      <w:bookmarkEnd w:id="3"/>
    </w:p>
    <w:tbl>
      <w:tblPr>
        <w:tblStyle w:val="9"/>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7"/>
        <w:gridCol w:w="1163"/>
        <w:gridCol w:w="1348"/>
        <w:gridCol w:w="1405"/>
        <w:gridCol w:w="690"/>
        <w:gridCol w:w="770"/>
        <w:gridCol w:w="890"/>
        <w:gridCol w:w="907"/>
        <w:gridCol w:w="1196"/>
        <w:gridCol w:w="867"/>
        <w:gridCol w:w="1145"/>
        <w:gridCol w:w="921"/>
        <w:gridCol w:w="1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50" w:type="pct"/>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593承德市工业和信息化局</w:t>
            </w:r>
          </w:p>
        </w:tc>
        <w:tc>
          <w:tcPr>
            <w:tcW w:w="2149" w:type="pct"/>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48" w:type="pct"/>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政府采购项目来源</w:t>
            </w:r>
          </w:p>
        </w:tc>
        <w:tc>
          <w:tcPr>
            <w:tcW w:w="475"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采购物品名称</w:t>
            </w:r>
          </w:p>
        </w:tc>
        <w:tc>
          <w:tcPr>
            <w:tcW w:w="496"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政府采购目录序号</w:t>
            </w:r>
          </w:p>
        </w:tc>
        <w:tc>
          <w:tcPr>
            <w:tcW w:w="243"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计量  单位</w:t>
            </w:r>
          </w:p>
        </w:tc>
        <w:tc>
          <w:tcPr>
            <w:tcW w:w="271"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314"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单价</w:t>
            </w:r>
          </w:p>
        </w:tc>
        <w:tc>
          <w:tcPr>
            <w:tcW w:w="2149" w:type="pct"/>
            <w:gridSpan w:val="6"/>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预算资金</w:t>
            </w:r>
          </w:p>
        </w:tc>
        <w:tc>
          <w:tcPr>
            <w:tcW w:w="475"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496"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243"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271"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314"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一般公共预算拨款</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基金预算拨款</w:t>
            </w: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国有资本经营预算拨款</w:t>
            </w: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财政专户核拨</w:t>
            </w: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小</w:t>
            </w:r>
            <w:r>
              <w:rPr>
                <w:rFonts w:hint="eastAsia" w:asciiTheme="minorEastAsia" w:hAnsiTheme="minorEastAsia" w:eastAsiaTheme="minorEastAsia" w:cstheme="minorEastAsia"/>
                <w:b w:val="0"/>
                <w:bCs w:val="0"/>
                <w:lang w:val="en-US" w:eastAsia="zh-CN"/>
              </w:rPr>
              <w:t xml:space="preserve">   </w:t>
            </w:r>
            <w:r>
              <w:rPr>
                <w:rFonts w:hint="eastAsia" w:asciiTheme="minorEastAsia" w:hAnsiTheme="minorEastAsia" w:eastAsiaTheme="minorEastAsia" w:cstheme="minorEastAsia"/>
                <w:b w:val="0"/>
                <w:bCs w:val="0"/>
              </w:rPr>
              <w:t>计</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113.20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113.2</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扫描仪</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rPr>
            </w:pPr>
            <w:r>
              <w:rPr>
                <w:rFonts w:hint="eastAsia" w:asciiTheme="minorEastAsia" w:hAnsiTheme="minorEastAsia" w:eastAsiaTheme="minorEastAsia" w:cstheme="minorEastAsia"/>
                <w:b w:val="0"/>
                <w:bCs w:val="0"/>
                <w:color w:val="000000" w:themeColor="text1"/>
              </w:rPr>
              <w:t>A02</w:t>
            </w:r>
            <w:r>
              <w:rPr>
                <w:rFonts w:hint="eastAsia" w:asciiTheme="minorEastAsia" w:hAnsiTheme="minorEastAsia" w:eastAsiaTheme="minorEastAsia" w:cstheme="minorEastAsia"/>
                <w:b w:val="0"/>
                <w:bCs w:val="0"/>
                <w:color w:val="000000" w:themeColor="text1"/>
                <w:lang w:val="en-US" w:eastAsia="zh-CN"/>
              </w:rPr>
              <w:t>01</w:t>
            </w:r>
            <w:r>
              <w:rPr>
                <w:rFonts w:hint="eastAsia" w:asciiTheme="minorEastAsia" w:hAnsiTheme="minorEastAsia" w:eastAsiaTheme="minorEastAsia" w:cstheme="minorEastAsia"/>
                <w:b w:val="0"/>
                <w:bCs w:val="0"/>
                <w:color w:val="000000" w:themeColor="text1"/>
              </w:rPr>
              <w:t>060</w:t>
            </w:r>
            <w:r>
              <w:rPr>
                <w:rFonts w:hint="eastAsia" w:asciiTheme="minorEastAsia" w:hAnsiTheme="minorEastAsia" w:eastAsiaTheme="minorEastAsia" w:cstheme="minorEastAsia"/>
                <w:b w:val="0"/>
                <w:bCs w:val="0"/>
                <w:color w:val="000000" w:themeColor="text1"/>
                <w:lang w:val="en-US" w:eastAsia="zh-CN"/>
              </w:rPr>
              <w:t>9</w:t>
            </w:r>
            <w:r>
              <w:rPr>
                <w:rFonts w:hint="eastAsia" w:asciiTheme="minorEastAsia" w:hAnsiTheme="minorEastAsia" w:eastAsiaTheme="minorEastAsia" w:cstheme="minorEastAsia"/>
                <w:b w:val="0"/>
                <w:bCs w:val="0"/>
                <w:color w:val="000000" w:themeColor="text1"/>
              </w:rPr>
              <w:t>0</w:t>
            </w:r>
            <w:r>
              <w:rPr>
                <w:rFonts w:hint="eastAsia" w:asciiTheme="minorEastAsia" w:hAnsiTheme="minorEastAsia" w:eastAsiaTheme="minorEastAsia" w:cstheme="minorEastAsia"/>
                <w:b w:val="0"/>
                <w:bCs w:val="0"/>
                <w:color w:val="000000" w:themeColor="text1"/>
                <w:lang w:val="en-US" w:eastAsia="zh-CN"/>
              </w:rPr>
              <w:t>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1.00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1.00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1.00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复印机</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A020201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lang w:val="en-US" w:eastAsia="zh-CN"/>
              </w:rPr>
              <w:t>5.00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5.00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5.00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rPr>
              <w:t>2</w:t>
            </w:r>
            <w:r>
              <w:rPr>
                <w:rFonts w:hint="eastAsia" w:asciiTheme="minorEastAsia" w:hAnsiTheme="minorEastAsia" w:eastAsiaTheme="minorEastAsia" w:cstheme="minorEastAsia"/>
                <w:b w:val="0"/>
                <w:bCs w:val="0"/>
                <w:lang w:val="en-US" w:eastAsia="zh-CN"/>
              </w:rPr>
              <w:t>.00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复印机</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A020201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2.00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2.00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2.00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0.40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lang w:eastAsia="zh-CN"/>
              </w:rPr>
              <w:t>碎纸</w:t>
            </w:r>
            <w:r>
              <w:rPr>
                <w:rFonts w:hint="eastAsia" w:asciiTheme="minorEastAsia" w:hAnsiTheme="minorEastAsia" w:eastAsiaTheme="minorEastAsia" w:cstheme="minorEastAsia"/>
                <w:b w:val="0"/>
                <w:bCs w:val="0"/>
                <w:color w:val="000000" w:themeColor="text1"/>
              </w:rPr>
              <w:t>机</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rPr>
              <w:t>A020</w:t>
            </w:r>
            <w:r>
              <w:rPr>
                <w:rFonts w:hint="eastAsia" w:asciiTheme="minorEastAsia" w:hAnsiTheme="minorEastAsia" w:eastAsiaTheme="minorEastAsia" w:cstheme="minorEastAsia"/>
                <w:b w:val="0"/>
                <w:bCs w:val="0"/>
                <w:color w:val="000000" w:themeColor="text1"/>
                <w:lang w:val="en-US" w:eastAsia="zh-CN"/>
              </w:rPr>
              <w:t>21101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lang w:val="en-US" w:eastAsia="zh-CN"/>
              </w:rPr>
              <w:t>5</w:t>
            </w:r>
            <w:r>
              <w:rPr>
                <w:rFonts w:hint="eastAsia" w:asciiTheme="minorEastAsia" w:hAnsiTheme="minorEastAsia" w:eastAsiaTheme="minorEastAsia" w:cstheme="minorEastAsia"/>
                <w:b w:val="0"/>
                <w:bCs w:val="0"/>
                <w:color w:val="000000" w:themeColor="text1"/>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rPr>
              <w:t>0.</w:t>
            </w:r>
            <w:r>
              <w:rPr>
                <w:rFonts w:hint="eastAsia" w:asciiTheme="minorEastAsia" w:hAnsiTheme="minorEastAsia" w:eastAsiaTheme="minorEastAsia" w:cstheme="minorEastAsia"/>
                <w:b w:val="0"/>
                <w:bCs w:val="0"/>
                <w:color w:val="000000" w:themeColor="text1"/>
                <w:lang w:val="en-US" w:eastAsia="zh-CN"/>
              </w:rPr>
              <w:t>08</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lang w:val="en-US" w:eastAsia="zh-CN"/>
              </w:rPr>
              <w:t>0.4</w:t>
            </w:r>
            <w:r>
              <w:rPr>
                <w:rFonts w:hint="eastAsia" w:asciiTheme="minorEastAsia" w:hAnsiTheme="minorEastAsia" w:eastAsiaTheme="minorEastAsia" w:cstheme="minorEastAsia"/>
                <w:b w:val="0"/>
                <w:bCs w:val="0"/>
                <w:color w:val="000000" w:themeColor="text1"/>
              </w:rPr>
              <w:t>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lang w:val="en-US" w:eastAsia="zh-CN"/>
              </w:rPr>
              <w:t>0.4</w:t>
            </w:r>
            <w:r>
              <w:rPr>
                <w:rFonts w:hint="eastAsia" w:asciiTheme="minorEastAsia" w:hAnsiTheme="minorEastAsia" w:eastAsiaTheme="minorEastAsia" w:cstheme="minorEastAsia"/>
                <w:b w:val="0"/>
                <w:bCs w:val="0"/>
                <w:color w:val="000000" w:themeColor="text1"/>
              </w:rPr>
              <w:t>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1.30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rPr>
            </w:pPr>
            <w:r>
              <w:rPr>
                <w:rFonts w:hint="eastAsia" w:asciiTheme="minorEastAsia" w:hAnsiTheme="minorEastAsia" w:eastAsiaTheme="minorEastAsia" w:cstheme="minorEastAsia"/>
                <w:b w:val="0"/>
                <w:bCs w:val="0"/>
                <w:color w:val="000000" w:themeColor="text1"/>
                <w:lang w:eastAsia="zh-CN"/>
              </w:rPr>
              <w:t>沙发</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rPr>
              <w:t>A0</w:t>
            </w:r>
            <w:r>
              <w:rPr>
                <w:rFonts w:hint="eastAsia" w:asciiTheme="minorEastAsia" w:hAnsiTheme="minorEastAsia" w:eastAsiaTheme="minorEastAsia" w:cstheme="minorEastAsia"/>
                <w:b w:val="0"/>
                <w:bCs w:val="0"/>
                <w:color w:val="000000" w:themeColor="text1"/>
                <w:lang w:val="en-US" w:eastAsia="zh-CN"/>
              </w:rPr>
              <w:t>60402</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rPr>
            </w:pPr>
            <w:r>
              <w:rPr>
                <w:rFonts w:hint="eastAsia" w:asciiTheme="minorEastAsia" w:hAnsiTheme="minorEastAsia" w:eastAsiaTheme="minorEastAsia" w:cstheme="minorEastAsia"/>
                <w:b w:val="0"/>
                <w:bCs w:val="0"/>
                <w:color w:val="000000" w:themeColor="text1"/>
                <w:lang w:eastAsia="zh-CN"/>
              </w:rPr>
              <w:t>支</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lang w:val="en-US" w:eastAsia="zh-CN"/>
              </w:rPr>
              <w:t>10</w:t>
            </w:r>
            <w:r>
              <w:rPr>
                <w:rFonts w:hint="eastAsia" w:asciiTheme="minorEastAsia" w:hAnsiTheme="minorEastAsia" w:eastAsiaTheme="minorEastAsia" w:cstheme="minorEastAsia"/>
                <w:b w:val="0"/>
                <w:bCs w:val="0"/>
                <w:color w:val="000000" w:themeColor="text1"/>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0.13</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1.30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1.30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0.70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lang w:eastAsia="zh-CN"/>
              </w:rPr>
              <w:t>档案柜</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rPr>
              <w:t>A020</w:t>
            </w:r>
            <w:r>
              <w:rPr>
                <w:rFonts w:hint="eastAsia" w:asciiTheme="minorEastAsia" w:hAnsiTheme="minorEastAsia" w:eastAsiaTheme="minorEastAsia" w:cstheme="minorEastAsia"/>
                <w:b w:val="0"/>
                <w:bCs w:val="0"/>
                <w:color w:val="000000" w:themeColor="text1"/>
                <w:lang w:val="en-US" w:eastAsia="zh-CN"/>
              </w:rPr>
              <w:t>40102</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rPr>
            </w:pPr>
            <w:r>
              <w:rPr>
                <w:rFonts w:hint="eastAsia" w:asciiTheme="minorEastAsia" w:hAnsiTheme="minorEastAsia" w:eastAsiaTheme="minorEastAsia" w:cstheme="minorEastAsia"/>
                <w:b w:val="0"/>
                <w:bCs w:val="0"/>
                <w:color w:val="000000" w:themeColor="text1"/>
                <w:lang w:eastAsia="zh-CN"/>
              </w:rPr>
              <w:t>个</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1</w:t>
            </w:r>
            <w:r>
              <w:rPr>
                <w:rFonts w:hint="eastAsia" w:asciiTheme="minorEastAsia" w:hAnsiTheme="minorEastAsia" w:eastAsiaTheme="minorEastAsia" w:cstheme="minorEastAsia"/>
                <w:b w:val="0"/>
                <w:bCs w:val="0"/>
                <w:color w:val="000000" w:themeColor="text1"/>
                <w:lang w:val="en-US" w:eastAsia="zh-CN"/>
              </w:rPr>
              <w:t>0</w:t>
            </w:r>
            <w:r>
              <w:rPr>
                <w:rFonts w:hint="eastAsia" w:asciiTheme="minorEastAsia" w:hAnsiTheme="minorEastAsia" w:eastAsiaTheme="minorEastAsia" w:cstheme="minorEastAsia"/>
                <w:b w:val="0"/>
                <w:bCs w:val="0"/>
                <w:color w:val="000000" w:themeColor="text1"/>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rPr>
              <w:t>0.</w:t>
            </w:r>
            <w:r>
              <w:rPr>
                <w:rFonts w:hint="eastAsia" w:asciiTheme="minorEastAsia" w:hAnsiTheme="minorEastAsia" w:eastAsiaTheme="minorEastAsia" w:cstheme="minorEastAsia"/>
                <w:b w:val="0"/>
                <w:bCs w:val="0"/>
                <w:color w:val="000000" w:themeColor="text1"/>
                <w:lang w:val="en-US" w:eastAsia="zh-CN"/>
              </w:rPr>
              <w:t>07</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rPr>
              <w:t>0.</w:t>
            </w:r>
            <w:r>
              <w:rPr>
                <w:rFonts w:hint="eastAsia" w:asciiTheme="minorEastAsia" w:hAnsiTheme="minorEastAsia" w:eastAsiaTheme="minorEastAsia" w:cstheme="minorEastAsia"/>
                <w:b w:val="0"/>
                <w:bCs w:val="0"/>
                <w:color w:val="000000" w:themeColor="text1"/>
                <w:lang w:val="en-US" w:eastAsia="zh-CN"/>
              </w:rPr>
              <w:t>70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rPr>
              <w:t>0.</w:t>
            </w:r>
            <w:r>
              <w:rPr>
                <w:rFonts w:hint="eastAsia" w:asciiTheme="minorEastAsia" w:hAnsiTheme="minorEastAsia" w:eastAsiaTheme="minorEastAsia" w:cstheme="minorEastAsia"/>
                <w:b w:val="0"/>
                <w:bCs w:val="0"/>
                <w:color w:val="000000" w:themeColor="text1"/>
                <w:lang w:val="en-US" w:eastAsia="zh-CN"/>
              </w:rPr>
              <w:t>70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0.80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rPr>
            </w:pPr>
            <w:r>
              <w:rPr>
                <w:rFonts w:hint="eastAsia" w:asciiTheme="minorEastAsia" w:hAnsiTheme="minorEastAsia" w:eastAsiaTheme="minorEastAsia" w:cstheme="minorEastAsia"/>
                <w:b w:val="0"/>
                <w:bCs w:val="0"/>
                <w:color w:val="000000" w:themeColor="text1"/>
                <w:lang w:eastAsia="zh-CN"/>
              </w:rPr>
              <w:t>椅子</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rPr>
              <w:t>A0</w:t>
            </w:r>
            <w:r>
              <w:rPr>
                <w:rFonts w:hint="eastAsia" w:asciiTheme="minorEastAsia" w:hAnsiTheme="minorEastAsia" w:eastAsiaTheme="minorEastAsia" w:cstheme="minorEastAsia"/>
                <w:b w:val="0"/>
                <w:bCs w:val="0"/>
                <w:color w:val="000000" w:themeColor="text1"/>
                <w:lang w:val="en-US" w:eastAsia="zh-CN"/>
              </w:rPr>
              <w:t>60302</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rPr>
            </w:pPr>
            <w:r>
              <w:rPr>
                <w:rFonts w:hint="eastAsia" w:asciiTheme="minorEastAsia" w:hAnsiTheme="minorEastAsia" w:eastAsiaTheme="minorEastAsia" w:cstheme="minorEastAsia"/>
                <w:b w:val="0"/>
                <w:bCs w:val="0"/>
                <w:color w:val="000000" w:themeColor="text1"/>
                <w:lang w:eastAsia="zh-CN"/>
              </w:rPr>
              <w:t>把</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lang w:val="en-US" w:eastAsia="zh-CN"/>
              </w:rPr>
              <w:t>20</w:t>
            </w:r>
            <w:r>
              <w:rPr>
                <w:rFonts w:hint="eastAsia" w:asciiTheme="minorEastAsia" w:hAnsiTheme="minorEastAsia" w:eastAsiaTheme="minorEastAsia" w:cstheme="minorEastAsia"/>
                <w:b w:val="0"/>
                <w:bCs w:val="0"/>
                <w:color w:val="000000" w:themeColor="text1"/>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0.04</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0.</w:t>
            </w:r>
            <w:r>
              <w:rPr>
                <w:rFonts w:hint="eastAsia" w:asciiTheme="minorEastAsia" w:hAnsiTheme="minorEastAsia" w:eastAsiaTheme="minorEastAsia" w:cstheme="minorEastAsia"/>
                <w:b w:val="0"/>
                <w:bCs w:val="0"/>
                <w:color w:val="000000" w:themeColor="text1"/>
                <w:lang w:val="en-US" w:eastAsia="zh-CN"/>
              </w:rPr>
              <w:t>8</w:t>
            </w:r>
            <w:r>
              <w:rPr>
                <w:rFonts w:hint="eastAsia" w:asciiTheme="minorEastAsia" w:hAnsiTheme="minorEastAsia" w:eastAsiaTheme="minorEastAsia" w:cstheme="minorEastAsia"/>
                <w:b w:val="0"/>
                <w:bCs w:val="0"/>
                <w:color w:val="000000" w:themeColor="text1"/>
              </w:rPr>
              <w:t>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0.</w:t>
            </w:r>
            <w:r>
              <w:rPr>
                <w:rFonts w:hint="eastAsia" w:asciiTheme="minorEastAsia" w:hAnsiTheme="minorEastAsia" w:eastAsiaTheme="minorEastAsia" w:cstheme="minorEastAsia"/>
                <w:b w:val="0"/>
                <w:bCs w:val="0"/>
                <w:color w:val="000000" w:themeColor="text1"/>
                <w:lang w:val="en-US" w:eastAsia="zh-CN"/>
              </w:rPr>
              <w:t>8</w:t>
            </w:r>
            <w:r>
              <w:rPr>
                <w:rFonts w:hint="eastAsia" w:asciiTheme="minorEastAsia" w:hAnsiTheme="minorEastAsia" w:eastAsiaTheme="minorEastAsia" w:cstheme="minorEastAsia"/>
                <w:b w:val="0"/>
                <w:bCs w:val="0"/>
                <w:color w:val="000000" w:themeColor="text1"/>
              </w:rPr>
              <w:t>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办公桌</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rPr>
              <w:t>A0</w:t>
            </w:r>
            <w:r>
              <w:rPr>
                <w:rFonts w:hint="eastAsia" w:asciiTheme="minorEastAsia" w:hAnsiTheme="minorEastAsia" w:eastAsiaTheme="minorEastAsia" w:cstheme="minorEastAsia"/>
                <w:b w:val="0"/>
                <w:bCs w:val="0"/>
                <w:lang w:val="en-US" w:eastAsia="zh-CN"/>
              </w:rPr>
              <w:t>60205</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张</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r>
              <w:rPr>
                <w:rFonts w:hint="eastAsia" w:asciiTheme="minorEastAsia" w:hAnsiTheme="minorEastAsia" w:eastAsiaTheme="minorEastAsia" w:cstheme="minorEastAsia"/>
                <w:b w:val="0"/>
                <w:bCs w:val="0"/>
                <w:lang w:val="en-US" w:eastAsia="zh-CN"/>
              </w:rPr>
              <w:t>0</w:t>
            </w:r>
            <w:r>
              <w:rPr>
                <w:rFonts w:hint="eastAsia" w:asciiTheme="minorEastAsia" w:hAnsiTheme="minorEastAsia" w:eastAsiaTheme="minorEastAsia" w:cstheme="minorEastAsia"/>
                <w:b w:val="0"/>
                <w:bCs w:val="0"/>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0.1</w:t>
            </w:r>
            <w:r>
              <w:rPr>
                <w:rFonts w:hint="eastAsia" w:asciiTheme="minorEastAsia" w:hAnsiTheme="minorEastAsia" w:eastAsiaTheme="minorEastAsia" w:cstheme="minorEastAsia"/>
                <w:b w:val="0"/>
                <w:bCs w:val="0"/>
                <w:lang w:val="en-US" w:eastAsia="zh-CN"/>
              </w:rPr>
              <w:t>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w:t>
            </w:r>
            <w:r>
              <w:rPr>
                <w:rFonts w:hint="eastAsia" w:asciiTheme="minorEastAsia" w:hAnsiTheme="minorEastAsia" w:eastAsiaTheme="minorEastAsia" w:cstheme="minorEastAsia"/>
                <w:b w:val="0"/>
                <w:bCs w:val="0"/>
                <w:lang w:val="en-US" w:eastAsia="zh-CN"/>
              </w:rPr>
              <w:t>2</w:t>
            </w:r>
            <w:r>
              <w:rPr>
                <w:rFonts w:hint="eastAsia" w:asciiTheme="minorEastAsia" w:hAnsiTheme="minorEastAsia" w:eastAsiaTheme="minorEastAsia" w:cstheme="minorEastAsia"/>
                <w:b w:val="0"/>
                <w:bCs w:val="0"/>
              </w:rPr>
              <w:t>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中国数字经济博览会承德会展项目</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博览会服务</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C060201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场</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bl>
    <w:p>
      <w:pPr>
        <w:jc w:val="center"/>
        <w:outlineLvl w:val="0"/>
        <w:rPr>
          <w:rFonts w:hint="eastAsia" w:ascii="方正小标宋_GBK" w:eastAsia="方正小标宋_GBK"/>
          <w:sz w:val="32"/>
        </w:rPr>
      </w:pPr>
    </w:p>
    <w:bookmarkEnd w:id="2"/>
    <w:p>
      <w:pPr>
        <w:autoSpaceDE w:val="0"/>
        <w:autoSpaceDN w:val="0"/>
        <w:adjustRightInd w:val="0"/>
        <w:jc w:val="left"/>
        <w:rPr>
          <w:rFonts w:hint="eastAsia" w:ascii="黑体" w:hAnsi="黑体" w:eastAsia="黑体" w:cs="Times New Roman"/>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七、国有资产信息</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上年末固定资产金额为</w:t>
      </w:r>
      <w:r>
        <w:rPr>
          <w:rFonts w:hint="eastAsia" w:ascii="仿宋_GB2312" w:hAnsi="仿宋_GB2312" w:eastAsia="仿宋_GB2312" w:cs="仿宋_GB2312"/>
          <w:color w:val="000000" w:themeColor="text1"/>
          <w:sz w:val="32"/>
          <w:szCs w:val="32"/>
          <w:lang w:val="en-US" w:eastAsia="zh-CN"/>
        </w:rPr>
        <w:t>882.79</w:t>
      </w:r>
      <w:r>
        <w:rPr>
          <w:rFonts w:hint="eastAsia" w:ascii="仿宋_GB2312" w:hAnsi="仿宋_GB2312" w:eastAsia="仿宋_GB2312" w:cs="仿宋_GB2312"/>
          <w:color w:val="000000" w:themeColor="text1"/>
          <w:sz w:val="32"/>
          <w:szCs w:val="32"/>
        </w:rPr>
        <w:t>万元（详见下表），本年度拟购置固定资产主要为</w:t>
      </w:r>
      <w:r>
        <w:rPr>
          <w:rFonts w:hint="eastAsia" w:ascii="仿宋_GB2312" w:hAnsi="仿宋_GB2312" w:eastAsia="仿宋_GB2312" w:cs="仿宋_GB2312"/>
          <w:color w:val="000000" w:themeColor="text1"/>
          <w:sz w:val="32"/>
          <w:szCs w:val="32"/>
          <w:lang w:eastAsia="zh-CN"/>
        </w:rPr>
        <w:t>复印机、扫描仪、办公桌椅</w:t>
      </w:r>
      <w:r>
        <w:rPr>
          <w:rFonts w:hint="eastAsia" w:ascii="仿宋_GB2312" w:hAnsi="仿宋_GB2312" w:eastAsia="仿宋_GB2312" w:cs="仿宋_GB2312"/>
          <w:color w:val="000000" w:themeColor="text1"/>
          <w:sz w:val="32"/>
          <w:szCs w:val="32"/>
        </w:rPr>
        <w:t>等</w:t>
      </w:r>
      <w:r>
        <w:rPr>
          <w:rFonts w:hint="eastAsia" w:ascii="仿宋_GB2312" w:hAnsi="仿宋_GB2312" w:eastAsia="仿宋_GB2312" w:cs="仿宋_GB2312"/>
          <w:color w:val="000000" w:themeColor="text1"/>
          <w:sz w:val="32"/>
          <w:szCs w:val="32"/>
          <w:lang w:eastAsia="zh-CN"/>
        </w:rPr>
        <w:t>，共计</w:t>
      </w:r>
      <w:r>
        <w:rPr>
          <w:rFonts w:hint="eastAsia" w:ascii="仿宋_GB2312" w:hAnsi="仿宋_GB2312" w:eastAsia="仿宋_GB2312" w:cs="仿宋_GB2312"/>
          <w:color w:val="000000" w:themeColor="text1"/>
          <w:sz w:val="32"/>
          <w:szCs w:val="32"/>
          <w:lang w:val="en-US" w:eastAsia="zh-CN"/>
        </w:rPr>
        <w:t>13.20万元，均是20万元以下的设备。其余100.00万元为</w:t>
      </w:r>
      <w:r>
        <w:rPr>
          <w:rFonts w:hint="eastAsia" w:ascii="仿宋_GB2312" w:hAnsi="仿宋_GB2312" w:eastAsia="仿宋_GB2312" w:cs="仿宋_GB2312"/>
          <w:color w:val="000000" w:themeColor="text1"/>
          <w:sz w:val="32"/>
          <w:szCs w:val="32"/>
        </w:rPr>
        <w:t>中国数字经济博览会承德会展项目</w:t>
      </w:r>
      <w:r>
        <w:rPr>
          <w:rFonts w:hint="eastAsia" w:ascii="仿宋_GB2312" w:hAnsi="仿宋_GB2312" w:eastAsia="仿宋_GB2312" w:cs="仿宋_GB2312"/>
          <w:color w:val="000000" w:themeColor="text1"/>
          <w:sz w:val="32"/>
          <w:szCs w:val="32"/>
          <w:lang w:eastAsia="zh-CN"/>
        </w:rPr>
        <w:t>服务采购，</w:t>
      </w:r>
      <w:r>
        <w:rPr>
          <w:rFonts w:hint="eastAsia" w:ascii="仿宋_GB2312" w:hAnsi="仿宋_GB2312" w:eastAsia="仿宋_GB2312" w:cs="仿宋_GB2312"/>
          <w:color w:val="000000" w:themeColor="text1"/>
          <w:sz w:val="32"/>
          <w:szCs w:val="32"/>
          <w:lang w:val="en-US" w:eastAsia="zh-CN"/>
        </w:rPr>
        <w:t>本年预算拟购置的固定资产为其他固定资产，共计13.20万元,已列入政府采购预算表。</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000000" w:themeColor="text1"/>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01"/>
        <w:gridCol w:w="1994"/>
        <w:gridCol w:w="3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vAlign w:val="center"/>
          </w:tcPr>
          <w:p>
            <w:pPr>
              <w:widowControl/>
              <w:jc w:val="center"/>
              <w:rPr>
                <w:rFonts w:ascii="宋体" w:hAnsi="宋体" w:eastAsia="宋体" w:cs="宋体"/>
                <w:b/>
                <w:bCs/>
                <w:kern w:val="0"/>
                <w:sz w:val="32"/>
                <w:szCs w:val="32"/>
              </w:rPr>
            </w:pPr>
            <w:r>
              <w:rPr>
                <w:rFonts w:hint="eastAsia" w:ascii="宋体" w:hAnsi="宋体" w:cs="宋体"/>
                <w:b/>
                <w:bCs/>
                <w:kern w:val="0"/>
                <w:sz w:val="32"/>
                <w:szCs w:val="32"/>
                <w:lang w:val="en-US" w:eastAsia="zh-CN"/>
              </w:rPr>
              <w:t>承德市</w:t>
            </w:r>
            <w:r>
              <w:rPr>
                <w:rFonts w:hint="eastAsia" w:ascii="宋体" w:hAnsi="宋体" w:eastAsia="宋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cs="宋体"/>
                <w:kern w:val="0"/>
                <w:sz w:val="22"/>
                <w:lang w:val="en-US" w:eastAsia="zh-CN"/>
              </w:rPr>
              <w:t>承德市工业和信息化局</w:t>
            </w:r>
          </w:p>
        </w:tc>
        <w:tc>
          <w:tcPr>
            <w:tcW w:w="1892" w:type="pct"/>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截止时间：201</w:t>
            </w:r>
            <w:r>
              <w:rPr>
                <w:rFonts w:hint="eastAsia" w:ascii="宋体" w:hAnsi="宋体" w:cs="宋体"/>
                <w:kern w:val="0"/>
                <w:sz w:val="22"/>
                <w:lang w:val="en-US" w:eastAsia="zh-CN"/>
              </w:rPr>
              <w:t>9</w:t>
            </w:r>
            <w:r>
              <w:rPr>
                <w:rFonts w:hint="eastAsia" w:ascii="宋体" w:hAnsi="宋体" w:eastAsia="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116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189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937"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1169"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892" w:type="pct"/>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882.79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116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4503.94</w:t>
            </w:r>
          </w:p>
        </w:tc>
        <w:tc>
          <w:tcPr>
            <w:tcW w:w="189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370.88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116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830.94</w:t>
            </w:r>
          </w:p>
        </w:tc>
        <w:tc>
          <w:tcPr>
            <w:tcW w:w="189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116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w:t>
            </w:r>
          </w:p>
        </w:tc>
        <w:tc>
          <w:tcPr>
            <w:tcW w:w="1892" w:type="pct"/>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1169"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89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1169"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892" w:type="pct"/>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eastAsia="zh-CN"/>
              </w:rPr>
            </w:pPr>
            <w:r>
              <w:rPr>
                <w:rFonts w:hint="eastAsia" w:ascii="宋体" w:hAnsi="宋体" w:cs="宋体"/>
                <w:kern w:val="0"/>
                <w:sz w:val="22"/>
                <w:lang w:val="en-US" w:eastAsia="zh-CN"/>
              </w:rPr>
              <w:t>320.55</w:t>
            </w:r>
          </w:p>
        </w:tc>
      </w:tr>
    </w:tbl>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说明：</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实有车辆</w:t>
      </w:r>
      <w:r>
        <w:rPr>
          <w:rFonts w:hint="eastAsia" w:ascii="宋体" w:hAnsi="宋体" w:eastAsia="宋体" w:cs="宋体"/>
          <w:color w:val="auto"/>
          <w:sz w:val="24"/>
          <w:szCs w:val="24"/>
          <w:lang w:val="en-US" w:eastAsia="zh-CN"/>
        </w:rPr>
        <w:t>6辆。</w:t>
      </w:r>
    </w:p>
    <w:p>
      <w:pPr>
        <w:rPr>
          <w:rFonts w:hint="eastAsia" w:ascii="仿宋_GB2312" w:hAnsi="黑体" w:eastAsia="仿宋_GB2312" w:cs="Times New Roman"/>
          <w:color w:val="auto"/>
          <w:sz w:val="32"/>
          <w:szCs w:val="32"/>
          <w:lang w:val="en-US" w:eastAsia="zh-CN"/>
        </w:rPr>
      </w:pPr>
      <w:r>
        <w:rPr>
          <w:rFonts w:hint="eastAsia" w:ascii="宋体" w:hAnsi="宋体" w:eastAsia="宋体" w:cs="宋体"/>
          <w:color w:val="auto"/>
          <w:sz w:val="24"/>
          <w:szCs w:val="24"/>
          <w:lang w:val="en-US" w:eastAsia="zh-CN"/>
        </w:rPr>
        <w:t xml:space="preserve">      2、办公用房价值80.84万元计入固定资产。</w:t>
      </w:r>
    </w:p>
    <w:p>
      <w:pPr>
        <w:numPr>
          <w:numId w:val="0"/>
        </w:numPr>
        <w:autoSpaceDE w:val="0"/>
        <w:autoSpaceDN w:val="0"/>
        <w:adjustRightInd w:val="0"/>
        <w:ind w:firstLine="640" w:firstLineChars="200"/>
        <w:jc w:val="left"/>
        <w:rPr>
          <w:rFonts w:hint="eastAsia" w:ascii="黑体" w:hAnsi="黑体" w:eastAsia="黑体" w:cs="Times New Roman"/>
          <w:sz w:val="32"/>
          <w:szCs w:val="32"/>
          <w:lang w:eastAsia="zh-CN"/>
        </w:rPr>
      </w:pPr>
    </w:p>
    <w:p>
      <w:pPr>
        <w:numPr>
          <w:numId w:val="0"/>
        </w:numPr>
        <w:autoSpaceDE w:val="0"/>
        <w:autoSpaceDN w:val="0"/>
        <w:adjustRightInd w:val="0"/>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lang w:eastAsia="zh-CN"/>
        </w:rPr>
        <w:t>八、</w:t>
      </w:r>
      <w:r>
        <w:rPr>
          <w:rFonts w:hint="eastAsia" w:ascii="黑体" w:hAnsi="黑体" w:eastAsia="黑体" w:cs="Times New Roman"/>
          <w:sz w:val="32"/>
          <w:szCs w:val="32"/>
        </w:rPr>
        <w:t>名词解释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1、一般预算收入：市级财政当年拨付的资金。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支出。</w:t>
      </w:r>
    </w:p>
    <w:p>
      <w:pPr>
        <w:numPr>
          <w:ilvl w:val="0"/>
          <w:numId w:val="0"/>
        </w:numPr>
        <w:autoSpaceDE w:val="0"/>
        <w:autoSpaceDN w:val="0"/>
        <w:adjustRightInd w:val="0"/>
        <w:ind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numPr>
          <w:ilvl w:val="0"/>
          <w:numId w:val="0"/>
        </w:numPr>
        <w:autoSpaceDE w:val="0"/>
        <w:autoSpaceDN w:val="0"/>
        <w:adjustRightInd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十、本部门预算批复时间及批复文件号</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本部门预算批复时间：2021年2月8日；</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本部门预算批复文件号：承财预【2021】13号。</w:t>
      </w:r>
    </w:p>
    <w:sectPr>
      <w:pgSz w:w="11906" w:h="16838"/>
      <w:pgMar w:top="2007" w:right="1463" w:bottom="2007" w:left="1576"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11"/>
                            </w:rPr>
                          </w:pPr>
                          <w:r>
                            <w:rPr>
                              <w:rStyle w:val="11"/>
                            </w:rPr>
                            <w:fldChar w:fldCharType="begin"/>
                          </w:r>
                          <w:r>
                            <w:rPr>
                              <w:rStyle w:val="11"/>
                            </w:rPr>
                            <w:instrText xml:space="preserve">PAGE  </w:instrText>
                          </w:r>
                          <w:r>
                            <w:rPr>
                              <w:rStyle w:val="11"/>
                            </w:rPr>
                            <w:fldChar w:fldCharType="separate"/>
                          </w:r>
                          <w:r>
                            <w:rPr>
                              <w:rStyle w:val="11"/>
                            </w:rPr>
                            <w:t>33</w:t>
                          </w:r>
                          <w:r>
                            <w:rPr>
                              <w:rStyle w:val="1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4"/>
                      <w:rPr>
                        <w:rStyle w:val="11"/>
                      </w:rPr>
                    </w:pPr>
                    <w:r>
                      <w:rPr>
                        <w:rStyle w:val="11"/>
                      </w:rPr>
                      <w:fldChar w:fldCharType="begin"/>
                    </w:r>
                    <w:r>
                      <w:rPr>
                        <w:rStyle w:val="11"/>
                      </w:rPr>
                      <w:instrText xml:space="preserve">PAGE  </w:instrText>
                    </w:r>
                    <w:r>
                      <w:rPr>
                        <w:rStyle w:val="11"/>
                      </w:rPr>
                      <w:fldChar w:fldCharType="separate"/>
                    </w:r>
                    <w:r>
                      <w:rPr>
                        <w:rStyle w:val="11"/>
                      </w:rPr>
                      <w:t>33</w:t>
                    </w:r>
                    <w:r>
                      <w:rPr>
                        <w:rStyle w:val="1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173"/>
      </w:tabs>
      <w:jc w:val="left"/>
      <w:rPr>
        <w:rFonts w:hint="eastAsia" w:eastAsia="宋体"/>
        <w:lang w:eastAsia="zh-CN"/>
      </w:rPr>
    </w:pPr>
    <w:r>
      <w:rPr>
        <w:rFonts w:hint="eastAsia"/>
        <w:lang w:eastAsia="zh-CN"/>
      </w:rPr>
      <w:tab/>
      <w:t/>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56" w:hanging="425"/>
        <w:jc w:val="right"/>
      </w:pPr>
      <w:rPr>
        <w:rFonts w:hint="default"/>
        <w:w w:val="99"/>
        <w:lang w:val="en-US" w:eastAsia="zh-CN" w:bidi="ar-SA"/>
      </w:rPr>
    </w:lvl>
    <w:lvl w:ilvl="1" w:tentative="0">
      <w:start w:val="0"/>
      <w:numFmt w:val="bullet"/>
      <w:lvlText w:val="•"/>
      <w:lvlJc w:val="left"/>
      <w:pPr>
        <w:ind w:left="1664" w:hanging="425"/>
      </w:pPr>
      <w:rPr>
        <w:rFonts w:hint="default"/>
        <w:lang w:val="en-US" w:eastAsia="zh-CN" w:bidi="ar-SA"/>
      </w:rPr>
    </w:lvl>
    <w:lvl w:ilvl="2" w:tentative="0">
      <w:start w:val="0"/>
      <w:numFmt w:val="bullet"/>
      <w:lvlText w:val="•"/>
      <w:lvlJc w:val="left"/>
      <w:pPr>
        <w:ind w:left="2569" w:hanging="425"/>
      </w:pPr>
      <w:rPr>
        <w:rFonts w:hint="default"/>
        <w:lang w:val="en-US" w:eastAsia="zh-CN" w:bidi="ar-SA"/>
      </w:rPr>
    </w:lvl>
    <w:lvl w:ilvl="3" w:tentative="0">
      <w:start w:val="0"/>
      <w:numFmt w:val="bullet"/>
      <w:lvlText w:val="•"/>
      <w:lvlJc w:val="left"/>
      <w:pPr>
        <w:ind w:left="3473" w:hanging="425"/>
      </w:pPr>
      <w:rPr>
        <w:rFonts w:hint="default"/>
        <w:lang w:val="en-US" w:eastAsia="zh-CN" w:bidi="ar-SA"/>
      </w:rPr>
    </w:lvl>
    <w:lvl w:ilvl="4" w:tentative="0">
      <w:start w:val="0"/>
      <w:numFmt w:val="bullet"/>
      <w:lvlText w:val="•"/>
      <w:lvlJc w:val="left"/>
      <w:pPr>
        <w:ind w:left="4378" w:hanging="425"/>
      </w:pPr>
      <w:rPr>
        <w:rFonts w:hint="default"/>
        <w:lang w:val="en-US" w:eastAsia="zh-CN" w:bidi="ar-SA"/>
      </w:rPr>
    </w:lvl>
    <w:lvl w:ilvl="5" w:tentative="0">
      <w:start w:val="0"/>
      <w:numFmt w:val="bullet"/>
      <w:lvlText w:val="•"/>
      <w:lvlJc w:val="left"/>
      <w:pPr>
        <w:ind w:left="5283" w:hanging="425"/>
      </w:pPr>
      <w:rPr>
        <w:rFonts w:hint="default"/>
        <w:lang w:val="en-US" w:eastAsia="zh-CN" w:bidi="ar-SA"/>
      </w:rPr>
    </w:lvl>
    <w:lvl w:ilvl="6" w:tentative="0">
      <w:start w:val="0"/>
      <w:numFmt w:val="bullet"/>
      <w:lvlText w:val="•"/>
      <w:lvlJc w:val="left"/>
      <w:pPr>
        <w:ind w:left="6187" w:hanging="425"/>
      </w:pPr>
      <w:rPr>
        <w:rFonts w:hint="default"/>
        <w:lang w:val="en-US" w:eastAsia="zh-CN" w:bidi="ar-SA"/>
      </w:rPr>
    </w:lvl>
    <w:lvl w:ilvl="7" w:tentative="0">
      <w:start w:val="0"/>
      <w:numFmt w:val="bullet"/>
      <w:lvlText w:val="•"/>
      <w:lvlJc w:val="left"/>
      <w:pPr>
        <w:ind w:left="7092" w:hanging="425"/>
      </w:pPr>
      <w:rPr>
        <w:rFonts w:hint="default"/>
        <w:lang w:val="en-US" w:eastAsia="zh-CN" w:bidi="ar-SA"/>
      </w:rPr>
    </w:lvl>
    <w:lvl w:ilvl="8" w:tentative="0">
      <w:start w:val="0"/>
      <w:numFmt w:val="bullet"/>
      <w:lvlText w:val="•"/>
      <w:lvlJc w:val="left"/>
      <w:pPr>
        <w:ind w:left="7996" w:hanging="425"/>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75D5F"/>
    <w:rsid w:val="000B3E8D"/>
    <w:rsid w:val="000C3A19"/>
    <w:rsid w:val="001245BB"/>
    <w:rsid w:val="00241FD4"/>
    <w:rsid w:val="00251B12"/>
    <w:rsid w:val="00296113"/>
    <w:rsid w:val="002F3E58"/>
    <w:rsid w:val="0030542C"/>
    <w:rsid w:val="00311B7A"/>
    <w:rsid w:val="00314C7B"/>
    <w:rsid w:val="00451871"/>
    <w:rsid w:val="00472923"/>
    <w:rsid w:val="004E3066"/>
    <w:rsid w:val="004E351C"/>
    <w:rsid w:val="004E74CD"/>
    <w:rsid w:val="00573562"/>
    <w:rsid w:val="00614A29"/>
    <w:rsid w:val="006E3FDA"/>
    <w:rsid w:val="0075393C"/>
    <w:rsid w:val="00776C08"/>
    <w:rsid w:val="007E1DA8"/>
    <w:rsid w:val="007F6C26"/>
    <w:rsid w:val="008334AE"/>
    <w:rsid w:val="00836FED"/>
    <w:rsid w:val="00845CD2"/>
    <w:rsid w:val="00852B0D"/>
    <w:rsid w:val="00867777"/>
    <w:rsid w:val="00881692"/>
    <w:rsid w:val="00887B5F"/>
    <w:rsid w:val="008B3CC5"/>
    <w:rsid w:val="008E4261"/>
    <w:rsid w:val="008F3E86"/>
    <w:rsid w:val="008F4662"/>
    <w:rsid w:val="00905D08"/>
    <w:rsid w:val="00925753"/>
    <w:rsid w:val="00966C5C"/>
    <w:rsid w:val="00973104"/>
    <w:rsid w:val="009E4627"/>
    <w:rsid w:val="00A72D2E"/>
    <w:rsid w:val="00A911E7"/>
    <w:rsid w:val="00A939D9"/>
    <w:rsid w:val="00B20712"/>
    <w:rsid w:val="00B43238"/>
    <w:rsid w:val="00B75216"/>
    <w:rsid w:val="00B91D52"/>
    <w:rsid w:val="00BA1ACD"/>
    <w:rsid w:val="00CA7176"/>
    <w:rsid w:val="00CC163D"/>
    <w:rsid w:val="00CD2773"/>
    <w:rsid w:val="00CE143B"/>
    <w:rsid w:val="00D74B13"/>
    <w:rsid w:val="00E167C7"/>
    <w:rsid w:val="00EC47F6"/>
    <w:rsid w:val="00F66032"/>
    <w:rsid w:val="00F958C2"/>
    <w:rsid w:val="011A0731"/>
    <w:rsid w:val="013C5898"/>
    <w:rsid w:val="01F55FB5"/>
    <w:rsid w:val="01FB23CB"/>
    <w:rsid w:val="021571B5"/>
    <w:rsid w:val="02FE6B83"/>
    <w:rsid w:val="03371E67"/>
    <w:rsid w:val="04146CC4"/>
    <w:rsid w:val="0468238A"/>
    <w:rsid w:val="04816E75"/>
    <w:rsid w:val="049E5A9F"/>
    <w:rsid w:val="05263643"/>
    <w:rsid w:val="056B19C1"/>
    <w:rsid w:val="059E2D39"/>
    <w:rsid w:val="06966D28"/>
    <w:rsid w:val="07FA2823"/>
    <w:rsid w:val="093861F3"/>
    <w:rsid w:val="09FE2B2C"/>
    <w:rsid w:val="0A95630D"/>
    <w:rsid w:val="0AE6608D"/>
    <w:rsid w:val="0B0D77B0"/>
    <w:rsid w:val="0B3736ED"/>
    <w:rsid w:val="0BD16F5F"/>
    <w:rsid w:val="0C3D5924"/>
    <w:rsid w:val="0D9F1876"/>
    <w:rsid w:val="0EBA3F7A"/>
    <w:rsid w:val="0EC4058B"/>
    <w:rsid w:val="0F154AD8"/>
    <w:rsid w:val="0F2F3001"/>
    <w:rsid w:val="0FE4471B"/>
    <w:rsid w:val="10A41AF3"/>
    <w:rsid w:val="10ED36A0"/>
    <w:rsid w:val="114917E9"/>
    <w:rsid w:val="115A38B5"/>
    <w:rsid w:val="11A0194D"/>
    <w:rsid w:val="13620F0F"/>
    <w:rsid w:val="13A3557E"/>
    <w:rsid w:val="13AC6BF7"/>
    <w:rsid w:val="13BF5AE5"/>
    <w:rsid w:val="13C50294"/>
    <w:rsid w:val="13C77FAF"/>
    <w:rsid w:val="14827DE7"/>
    <w:rsid w:val="15007330"/>
    <w:rsid w:val="15295708"/>
    <w:rsid w:val="158D55FE"/>
    <w:rsid w:val="15F42192"/>
    <w:rsid w:val="16357ACC"/>
    <w:rsid w:val="1708562B"/>
    <w:rsid w:val="17225FD6"/>
    <w:rsid w:val="173C672A"/>
    <w:rsid w:val="1777549A"/>
    <w:rsid w:val="18057F67"/>
    <w:rsid w:val="18257CD0"/>
    <w:rsid w:val="18BD502D"/>
    <w:rsid w:val="19C36DAA"/>
    <w:rsid w:val="1A5D684E"/>
    <w:rsid w:val="1ABE55EE"/>
    <w:rsid w:val="1D004E36"/>
    <w:rsid w:val="1D3D1517"/>
    <w:rsid w:val="1D3D5BBB"/>
    <w:rsid w:val="1D954D97"/>
    <w:rsid w:val="1E700CD9"/>
    <w:rsid w:val="202923B8"/>
    <w:rsid w:val="20B40129"/>
    <w:rsid w:val="21C65CC5"/>
    <w:rsid w:val="21CD32E4"/>
    <w:rsid w:val="222F228E"/>
    <w:rsid w:val="24C10334"/>
    <w:rsid w:val="277A2C42"/>
    <w:rsid w:val="28950BDE"/>
    <w:rsid w:val="2A012DF7"/>
    <w:rsid w:val="2A080B0F"/>
    <w:rsid w:val="2A8F30CE"/>
    <w:rsid w:val="2B1B683E"/>
    <w:rsid w:val="2B7544C5"/>
    <w:rsid w:val="2C2678D2"/>
    <w:rsid w:val="2D4D77F9"/>
    <w:rsid w:val="2E144FEA"/>
    <w:rsid w:val="2E7050C6"/>
    <w:rsid w:val="2EB71F8D"/>
    <w:rsid w:val="2FF67022"/>
    <w:rsid w:val="30182132"/>
    <w:rsid w:val="303D4E30"/>
    <w:rsid w:val="31266F3A"/>
    <w:rsid w:val="316E2FA4"/>
    <w:rsid w:val="328E1087"/>
    <w:rsid w:val="32D51C27"/>
    <w:rsid w:val="335C30CB"/>
    <w:rsid w:val="33AC3860"/>
    <w:rsid w:val="34283BF2"/>
    <w:rsid w:val="34446C1C"/>
    <w:rsid w:val="34664BF2"/>
    <w:rsid w:val="34D84C88"/>
    <w:rsid w:val="3507028C"/>
    <w:rsid w:val="3595643A"/>
    <w:rsid w:val="35EC2ADD"/>
    <w:rsid w:val="360A5CED"/>
    <w:rsid w:val="38DB04DD"/>
    <w:rsid w:val="38E01BC5"/>
    <w:rsid w:val="38F16F1D"/>
    <w:rsid w:val="3938233E"/>
    <w:rsid w:val="3A1E2FC5"/>
    <w:rsid w:val="3BC55628"/>
    <w:rsid w:val="3BF04AA8"/>
    <w:rsid w:val="3C3F34DF"/>
    <w:rsid w:val="3CD42DDC"/>
    <w:rsid w:val="3CF21FD1"/>
    <w:rsid w:val="3E0A5CAB"/>
    <w:rsid w:val="3F627F5F"/>
    <w:rsid w:val="3FC055D7"/>
    <w:rsid w:val="3FC1095E"/>
    <w:rsid w:val="3FE435A3"/>
    <w:rsid w:val="3FE66F47"/>
    <w:rsid w:val="40113566"/>
    <w:rsid w:val="401936EB"/>
    <w:rsid w:val="40C41907"/>
    <w:rsid w:val="415A017C"/>
    <w:rsid w:val="429960CF"/>
    <w:rsid w:val="430B39CB"/>
    <w:rsid w:val="4385651A"/>
    <w:rsid w:val="438A02D9"/>
    <w:rsid w:val="43D16BB0"/>
    <w:rsid w:val="447D5C5D"/>
    <w:rsid w:val="44B10079"/>
    <w:rsid w:val="44B9521C"/>
    <w:rsid w:val="45441F1A"/>
    <w:rsid w:val="455E53DC"/>
    <w:rsid w:val="4565409A"/>
    <w:rsid w:val="45671195"/>
    <w:rsid w:val="45C76287"/>
    <w:rsid w:val="45D43BA3"/>
    <w:rsid w:val="45E07538"/>
    <w:rsid w:val="471D5503"/>
    <w:rsid w:val="472C25FB"/>
    <w:rsid w:val="48482455"/>
    <w:rsid w:val="4864486B"/>
    <w:rsid w:val="492C0AE6"/>
    <w:rsid w:val="4955477D"/>
    <w:rsid w:val="497237C0"/>
    <w:rsid w:val="49A001C6"/>
    <w:rsid w:val="49A72B2B"/>
    <w:rsid w:val="49DC523F"/>
    <w:rsid w:val="4A322D4B"/>
    <w:rsid w:val="4A410E9A"/>
    <w:rsid w:val="4A5B700A"/>
    <w:rsid w:val="4CA521A3"/>
    <w:rsid w:val="4DEE40E6"/>
    <w:rsid w:val="4DF57B76"/>
    <w:rsid w:val="4E1B282F"/>
    <w:rsid w:val="4E3E3996"/>
    <w:rsid w:val="4E43030A"/>
    <w:rsid w:val="4E4F2575"/>
    <w:rsid w:val="4F2C05FA"/>
    <w:rsid w:val="4FB06E7B"/>
    <w:rsid w:val="50027801"/>
    <w:rsid w:val="51FB5277"/>
    <w:rsid w:val="53932D92"/>
    <w:rsid w:val="53946A87"/>
    <w:rsid w:val="53E325FA"/>
    <w:rsid w:val="541C1C0A"/>
    <w:rsid w:val="5457211F"/>
    <w:rsid w:val="550F43B1"/>
    <w:rsid w:val="55145A25"/>
    <w:rsid w:val="55383E38"/>
    <w:rsid w:val="576575F6"/>
    <w:rsid w:val="57D05EFC"/>
    <w:rsid w:val="57D57F3A"/>
    <w:rsid w:val="58021A10"/>
    <w:rsid w:val="5911172D"/>
    <w:rsid w:val="59653DB0"/>
    <w:rsid w:val="59870472"/>
    <w:rsid w:val="5989479E"/>
    <w:rsid w:val="5ADF53D2"/>
    <w:rsid w:val="5B953B98"/>
    <w:rsid w:val="5C102AFB"/>
    <w:rsid w:val="5D1A7F19"/>
    <w:rsid w:val="5E376A4F"/>
    <w:rsid w:val="5E731884"/>
    <w:rsid w:val="5EDA07F1"/>
    <w:rsid w:val="61E53102"/>
    <w:rsid w:val="6234259E"/>
    <w:rsid w:val="63010BEB"/>
    <w:rsid w:val="639246A3"/>
    <w:rsid w:val="63AF7BBB"/>
    <w:rsid w:val="641F6416"/>
    <w:rsid w:val="64A21479"/>
    <w:rsid w:val="64CF7C68"/>
    <w:rsid w:val="659F071B"/>
    <w:rsid w:val="67343D65"/>
    <w:rsid w:val="67706CC4"/>
    <w:rsid w:val="678A783D"/>
    <w:rsid w:val="67DA6980"/>
    <w:rsid w:val="67F107BD"/>
    <w:rsid w:val="681E4A83"/>
    <w:rsid w:val="685B7F7B"/>
    <w:rsid w:val="68696FCB"/>
    <w:rsid w:val="69EF670B"/>
    <w:rsid w:val="6A6D5074"/>
    <w:rsid w:val="6BEC4810"/>
    <w:rsid w:val="6C053E44"/>
    <w:rsid w:val="6C727EEC"/>
    <w:rsid w:val="6CA86ED0"/>
    <w:rsid w:val="6CAD0CBD"/>
    <w:rsid w:val="6D03451A"/>
    <w:rsid w:val="6DB12A95"/>
    <w:rsid w:val="6E0A1A76"/>
    <w:rsid w:val="6E627CC5"/>
    <w:rsid w:val="70413035"/>
    <w:rsid w:val="7051671E"/>
    <w:rsid w:val="724C7A91"/>
    <w:rsid w:val="72617A36"/>
    <w:rsid w:val="729D3CFB"/>
    <w:rsid w:val="72C74BFB"/>
    <w:rsid w:val="73BF4161"/>
    <w:rsid w:val="73F313FF"/>
    <w:rsid w:val="74BE139B"/>
    <w:rsid w:val="76310A46"/>
    <w:rsid w:val="763914EE"/>
    <w:rsid w:val="7724780E"/>
    <w:rsid w:val="78384B6B"/>
    <w:rsid w:val="79922C7F"/>
    <w:rsid w:val="7A133AD0"/>
    <w:rsid w:val="7A796DBE"/>
    <w:rsid w:val="7A8E391A"/>
    <w:rsid w:val="7B307DEF"/>
    <w:rsid w:val="7B6529C7"/>
    <w:rsid w:val="7C0A5D69"/>
    <w:rsid w:val="7C184F36"/>
    <w:rsid w:val="7C4F668F"/>
    <w:rsid w:val="7CA562A6"/>
    <w:rsid w:val="7CCE66EC"/>
    <w:rsid w:val="7CD663E8"/>
    <w:rsid w:val="7CD74030"/>
    <w:rsid w:val="7D93134F"/>
    <w:rsid w:val="7DBA449D"/>
    <w:rsid w:val="7DE94402"/>
    <w:rsid w:val="7E2B65CD"/>
    <w:rsid w:val="7E451DB9"/>
    <w:rsid w:val="7EB2342C"/>
    <w:rsid w:val="7EB763F1"/>
    <w:rsid w:val="7F1664F5"/>
    <w:rsid w:val="7F7E679B"/>
    <w:rsid w:val="7FBC7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index 5"/>
    <w:basedOn w:val="1"/>
    <w:next w:val="1"/>
    <w:semiHidden/>
    <w:unhideWhenUsed/>
    <w:qFormat/>
    <w:uiPriority w:val="0"/>
    <w:pPr>
      <w:ind w:firstLine="708" w:firstLineChars="337"/>
    </w:p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0"/>
    <w:rPr>
      <w:rFonts w:ascii="Times New Roman" w:hAnsi="Times New Roman" w:eastAsia="宋体" w:cs="Times New Roman"/>
      <w:szCs w:val="24"/>
    </w:rPr>
  </w:style>
  <w:style w:type="paragraph" w:styleId="7">
    <w:name w:val="footnote text"/>
    <w:basedOn w:val="1"/>
    <w:semiHidden/>
    <w:unhideWhenUsed/>
    <w:qFormat/>
    <w:uiPriority w:val="99"/>
    <w:pPr>
      <w:snapToGrid w:val="0"/>
      <w:jc w:val="left"/>
    </w:pPr>
    <w:rPr>
      <w:rFonts w:ascii="Calibri" w:hAnsi="Calibri" w:eastAsia="宋体" w:cs="Times New Roman"/>
      <w:sz w:val="18"/>
      <w:szCs w:val="18"/>
    </w:rPr>
  </w:style>
  <w:style w:type="paragraph" w:styleId="8">
    <w:name w:val="toc 2"/>
    <w:basedOn w:val="1"/>
    <w:next w:val="1"/>
    <w:qFormat/>
    <w:uiPriority w:val="0"/>
    <w:pPr>
      <w:ind w:left="420" w:leftChars="200"/>
    </w:pPr>
    <w:rPr>
      <w:rFonts w:ascii="Times New Roman" w:hAnsi="Times New Roman" w:eastAsia="宋体" w:cs="Times New Roman"/>
      <w:szCs w:val="24"/>
    </w:rPr>
  </w:style>
  <w:style w:type="character" w:styleId="11">
    <w:name w:val="page number"/>
    <w:basedOn w:val="10"/>
    <w:semiHidden/>
    <w:unhideWhenUsed/>
    <w:qFormat/>
    <w:uiPriority w:val="0"/>
  </w:style>
  <w:style w:type="character" w:styleId="12">
    <w:name w:val="footnote reference"/>
    <w:basedOn w:val="10"/>
    <w:semiHidden/>
    <w:unhideWhenUsed/>
    <w:qFormat/>
    <w:uiPriority w:val="99"/>
    <w:rPr>
      <w:vertAlign w:val="superscript"/>
    </w:rPr>
  </w:style>
  <w:style w:type="character" w:customStyle="1" w:styleId="13">
    <w:name w:val="页眉 Char"/>
    <w:basedOn w:val="10"/>
    <w:link w:val="5"/>
    <w:qFormat/>
    <w:uiPriority w:val="0"/>
    <w:rPr>
      <w:rFonts w:ascii="Times New Roman" w:hAnsi="Times New Roman" w:eastAsia="宋体" w:cs="Times New Roman"/>
      <w:sz w:val="18"/>
      <w:szCs w:val="18"/>
    </w:rPr>
  </w:style>
  <w:style w:type="character" w:customStyle="1" w:styleId="14">
    <w:name w:val="页脚 Char"/>
    <w:basedOn w:val="10"/>
    <w:link w:val="4"/>
    <w:qFormat/>
    <w:uiPriority w:val="0"/>
    <w:rPr>
      <w:rFonts w:ascii="Times New Roman" w:hAnsi="Times New Roman" w:eastAsia="宋体" w:cs="Times New Roman"/>
      <w:sz w:val="18"/>
      <w:szCs w:val="18"/>
    </w:rPr>
  </w:style>
  <w:style w:type="paragraph" w:customStyle="1" w:styleId="15">
    <w:name w:val="p0"/>
    <w:next w:val="2"/>
    <w:qFormat/>
    <w:uiPriority w:val="99"/>
    <w:pPr>
      <w:jc w:val="both"/>
    </w:pPr>
    <w:rPr>
      <w:rFonts w:ascii="Times New Roman" w:hAnsi="Times New Roman" w:eastAsia="宋体" w:cs="Times New Roman"/>
      <w:sz w:val="21"/>
      <w:szCs w:val="21"/>
      <w:lang w:val="en-US" w:eastAsia="zh-CN" w:bidi="ar-SA"/>
    </w:rPr>
  </w:style>
  <w:style w:type="character" w:customStyle="1" w:styleId="16">
    <w:name w:val="不明显参考"/>
    <w:basedOn w:val="10"/>
    <w:qFormat/>
    <w:uiPriority w:val="1635"/>
    <w:rPr>
      <w:color w:val="C0504D"/>
      <w:u w:val="single"/>
    </w:rPr>
  </w:style>
  <w:style w:type="paragraph" w:customStyle="1" w:styleId="17">
    <w:name w:val="页脚1"/>
    <w:basedOn w:val="1"/>
    <w:qFormat/>
    <w:uiPriority w:val="0"/>
    <w:pPr>
      <w:tabs>
        <w:tab w:val="center" w:pos="4153"/>
        <w:tab w:val="right" w:pos="8306"/>
      </w:tabs>
      <w:jc w:val="left"/>
    </w:pPr>
    <w:rPr>
      <w:sz w:val="18"/>
    </w:rPr>
  </w:style>
  <w:style w:type="paragraph" w:customStyle="1" w:styleId="18">
    <w:name w:val="Body Text First Indent"/>
    <w:basedOn w:val="19"/>
    <w:qFormat/>
    <w:uiPriority w:val="6"/>
    <w:pPr>
      <w:spacing w:after="0"/>
      <w:ind w:firstLine="420"/>
    </w:pPr>
    <w:rPr>
      <w:rFonts w:ascii="Times New Roman" w:hAnsi="Times New Roman" w:eastAsia="Times New Roman"/>
    </w:rPr>
  </w:style>
  <w:style w:type="paragraph" w:customStyle="1" w:styleId="19">
    <w:name w:val="Body Text"/>
    <w:basedOn w:val="1"/>
    <w:qFormat/>
    <w:uiPriority w:val="6"/>
    <w:pPr>
      <w:spacing w:after="120"/>
    </w:pPr>
  </w:style>
  <w:style w:type="paragraph" w:customStyle="1" w:styleId="20">
    <w:name w:val="[Normal]"/>
    <w:qFormat/>
    <w:uiPriority w:val="6"/>
    <w:rPr>
      <w:rFonts w:ascii="宋体" w:hAnsi="宋体" w:eastAsia="宋体" w:cstheme="minorBidi"/>
      <w:color w:val="auto"/>
      <w:position w:val="0"/>
      <w:sz w:val="24"/>
      <w:u w:val="none"/>
      <w:shd w:val="clear" w:color="auto" w:fill="auto"/>
      <w:lang w:val="en-US" w:eastAsia="en-US" w:bidi="ar-SA"/>
    </w:rPr>
  </w:style>
  <w:style w:type="paragraph" w:styleId="21">
    <w:name w:val="List Paragraph"/>
    <w:basedOn w:val="1"/>
    <w:qFormat/>
    <w:uiPriority w:val="1"/>
    <w:pPr>
      <w:spacing w:before="19" w:line="575" w:lineRule="exact"/>
      <w:ind w:left="756" w:hanging="425"/>
    </w:pPr>
    <w:rPr>
      <w:rFonts w:ascii="微软雅黑" w:hAnsi="微软雅黑" w:eastAsia="微软雅黑" w:cs="微软雅黑"/>
      <w:lang w:val="en-US" w:eastAsia="zh-CN" w:bidi="ar-SA"/>
    </w:rPr>
  </w:style>
  <w:style w:type="paragraph" w:customStyle="1" w:styleId="22">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Words>
  <Characters>613</Characters>
  <Lines>5</Lines>
  <Paragraphs>1</Paragraphs>
  <TotalTime>26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2017-01-20T01:29:00Z</dcterms:created>
  <dc:creator>guest</dc:creator>
  <cp:lastModifiedBy>大军</cp:lastModifiedBy>
  <cp:lastPrinted>2017-02-07T01:57:00Z</cp:lastPrinted>
  <dcterms:modified xsi:type="dcterms:W3CDTF">2022-06-17T01:37:20Z</dcterms:modified>
  <dc:title>河北省2017年部门预算信息公开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CF29E66227234692A86AB1C40B31FF4C</vt:lpwstr>
  </property>
</Properties>
</file>