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1200"/>
        <w:jc w:val="both"/>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承德市工业和信息化局</w:t>
      </w:r>
    </w:p>
    <w:p>
      <w:pPr>
        <w:jc w:val="center"/>
        <w:outlineLvl w:val="0"/>
        <w:rPr>
          <w:rFonts w:ascii="黑体" w:hAnsi="黑体" w:eastAsia="黑体" w:cs="黑体"/>
          <w:b/>
          <w:color w:val="000000"/>
          <w:sz w:val="44"/>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4"/>
        <w:tabs>
          <w:tab w:val="right" w:leader="dot" w:pos="14562"/>
        </w:tabs>
        <w:sectPr>
          <w:footerReference r:id="rId3" w:type="default"/>
          <w:pgSz w:w="16840" w:h="11900" w:orient="landscape"/>
          <w:pgMar w:top="1361" w:right="1020" w:bottom="1134" w:left="1020" w:header="720" w:footer="720" w:gutter="0"/>
          <w:cols w:space="720" w:num="1"/>
        </w:sect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4"/>
        <w:tabs>
          <w:tab w:val="right" w:leader="dot" w:pos="14562"/>
        </w:tabs>
        <w:ind w:left="0" w:leftChars="0" w:firstLine="560" w:firstLineChars="200"/>
      </w:pPr>
      <w:bookmarkStart w:id="1" w:name="_GoBack"/>
      <w:bookmarkEnd w:id="1"/>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2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2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2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rPr>
          <w:rFonts w:hint="eastAsia" w:asciiTheme="minorEastAsia" w:hAnsiTheme="minorEastAsia" w:eastAsiaTheme="minorEastAsia" w:cstheme="minorEastAsia"/>
          <w:b w:val="0"/>
          <w:bCs w:val="0"/>
        </w:rPr>
      </w:pPr>
    </w:p>
    <w:p>
      <w:pPr>
        <w:jc w:val="center"/>
        <w:rPr>
          <w:rFonts w:hint="eastAsia" w:asciiTheme="minorEastAsia" w:hAnsiTheme="minorEastAsia" w:eastAsiaTheme="minorEastAsia" w:cstheme="minorEastAsia"/>
          <w:b w:val="0"/>
          <w:bCs w:val="0"/>
        </w:rPr>
      </w:pPr>
    </w:p>
    <w:p>
      <w:pPr>
        <w:jc w:val="center"/>
        <w:rPr>
          <w:rFonts w:hint="eastAsia" w:asciiTheme="minorEastAsia" w:hAnsiTheme="minorEastAsia" w:eastAsiaTheme="minorEastAsia" w:cstheme="minorEastAsia"/>
          <w:b w:val="0"/>
          <w:bCs w:val="0"/>
        </w:rPr>
      </w:pPr>
    </w:p>
    <w:p>
      <w:pPr>
        <w:jc w:val="center"/>
        <w:rPr>
          <w:rFonts w:hint="eastAsia" w:asciiTheme="minorEastAsia" w:hAnsiTheme="minorEastAsia" w:eastAsiaTheme="minorEastAsia" w:cstheme="minorEastAsia"/>
          <w:b w:val="0"/>
          <w:bCs w:val="0"/>
        </w:rPr>
      </w:pPr>
    </w:p>
    <w:p>
      <w:pPr>
        <w:jc w:val="center"/>
        <w:rPr>
          <w:rFonts w:hint="eastAsia" w:asciiTheme="minorEastAsia" w:hAnsiTheme="minorEastAsia" w:eastAsiaTheme="minorEastAsia" w:cstheme="minorEastAsia"/>
          <w:b w:val="0"/>
          <w:bCs w:val="0"/>
        </w:rPr>
      </w:pPr>
    </w:p>
    <w:p>
      <w:pPr>
        <w:pStyle w:val="4"/>
        <w:tabs>
          <w:tab w:val="right" w:leader="dot" w:pos="14562"/>
        </w:tabs>
        <w:jc w:val="center"/>
        <w:rPr>
          <w:rFonts w:hint="eastAsia" w:ascii="黑体" w:hAnsi="黑体" w:eastAsia="黑体" w:cs="黑体"/>
          <w:b/>
          <w:bCs/>
          <w:sz w:val="44"/>
          <w:lang w:eastAsia="zh-CN"/>
        </w:rPr>
      </w:pPr>
      <w:r>
        <w:rPr>
          <w:rFonts w:hint="eastAsia" w:ascii="黑体" w:hAnsi="黑体" w:eastAsia="黑体" w:cs="黑体"/>
          <w:b/>
          <w:bCs/>
          <w:sz w:val="44"/>
          <w:lang w:eastAsia="zh-CN"/>
        </w:rPr>
        <w:t>承德市工业和信息化局</w:t>
      </w:r>
    </w:p>
    <w:p>
      <w:pPr>
        <w:pStyle w:val="4"/>
        <w:tabs>
          <w:tab w:val="right" w:leader="dot" w:pos="14562"/>
        </w:tabs>
        <w:jc w:val="center"/>
        <w:rPr>
          <w:rFonts w:hint="eastAsia" w:ascii="黑体" w:hAnsi="黑体" w:eastAsia="黑体" w:cs="黑体"/>
          <w:b/>
          <w:bCs/>
          <w:sz w:val="44"/>
        </w:rPr>
      </w:pPr>
      <w:r>
        <w:rPr>
          <w:rFonts w:hint="eastAsia" w:ascii="黑体" w:hAnsi="黑体" w:eastAsia="黑体" w:cs="黑体"/>
          <w:b/>
          <w:bCs/>
          <w:sz w:val="44"/>
        </w:rPr>
        <w:t>所属单位2022年单位预算信息公开</w:t>
      </w: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left"/>
        <w:rPr>
          <w:rFonts w:hint="eastAsia" w:asciiTheme="minorEastAsia" w:hAnsiTheme="minorEastAsia" w:eastAsiaTheme="minorEastAsia" w:cstheme="minorEastAsia"/>
          <w:b w:val="0"/>
          <w:bCs w:val="0"/>
          <w:sz w:val="36"/>
          <w:szCs w:val="36"/>
          <w:lang w:eastAsia="zh-CN"/>
        </w:rPr>
      </w:pPr>
      <w:r>
        <w:rPr>
          <w:rFonts w:hint="eastAsia" w:asciiTheme="minorEastAsia" w:hAnsiTheme="minorEastAsia" w:eastAsiaTheme="minorEastAsia" w:cstheme="minorEastAsia"/>
          <w:b w:val="0"/>
          <w:bCs w:val="0"/>
          <w:sz w:val="36"/>
          <w:szCs w:val="36"/>
          <w:lang w:eastAsia="zh-CN"/>
        </w:rPr>
        <w:t>一、承德市工业和信息化局本级收支预算</w:t>
      </w: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pStyle w:val="4"/>
        <w:tabs>
          <w:tab w:val="right" w:leader="dot" w:pos="14562"/>
        </w:tabs>
        <w:jc w:val="center"/>
        <w:rPr>
          <w:rFonts w:hint="eastAsia" w:asciiTheme="minorEastAsia" w:hAnsiTheme="minorEastAsia" w:eastAsiaTheme="minorEastAsia" w:cstheme="minorEastAsia"/>
          <w:b/>
          <w:bCs/>
          <w:sz w:val="44"/>
        </w:rPr>
      </w:pPr>
    </w:p>
    <w:p>
      <w:pPr>
        <w:jc w:val="center"/>
        <w:outlineLvl w:val="3"/>
        <w:rPr>
          <w:rFonts w:hint="eastAsia" w:asciiTheme="minorEastAsia" w:hAnsiTheme="minorEastAsia" w:eastAsiaTheme="minorEastAsia" w:cstheme="minorEastAsia"/>
          <w:b w:val="0"/>
          <w:bCs w:val="0"/>
          <w:sz w:val="32"/>
          <w:szCs w:val="32"/>
        </w:rPr>
      </w:pPr>
      <w:bookmarkStart w:id="0" w:name="_Toc_4_4_0000000019"/>
      <w:r>
        <w:rPr>
          <w:rFonts w:hint="eastAsia" w:asciiTheme="minorEastAsia" w:hAnsiTheme="minorEastAsia" w:eastAsiaTheme="minorEastAsia" w:cstheme="minorEastAsia"/>
          <w:b w:val="0"/>
          <w:bCs w:val="0"/>
          <w:color w:val="000000"/>
          <w:sz w:val="32"/>
          <w:szCs w:val="32"/>
        </w:rPr>
        <w:t>一、承德市工业和信息化局本级收支预算</w:t>
      </w:r>
      <w:bookmarkEnd w:id="0"/>
    </w:p>
    <w:p>
      <w:pPr>
        <w:jc w:val="center"/>
        <w:outlineLvl w:val="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szCs w:val="28"/>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126"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6661"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收入</w:t>
            </w:r>
          </w:p>
        </w:tc>
        <w:tc>
          <w:tcPr>
            <w:tcW w:w="6661"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  目</w:t>
            </w:r>
          </w:p>
        </w:tc>
        <w:tc>
          <w:tcPr>
            <w:tcW w:w="2126"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  目</w:t>
            </w:r>
          </w:p>
        </w:tc>
        <w:tc>
          <w:tcPr>
            <w:tcW w:w="2126"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126"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126"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一、一般公共预算拨款收入</w:t>
            </w:r>
          </w:p>
        </w:tc>
        <w:tc>
          <w:tcPr>
            <w:tcW w:w="2126"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一、一般公共服务支出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二、政府性基金预算拨款收入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二、外交支出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三、国有资本经营预算拨款收入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三、国防支出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四、财政专户管理资金收入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四、公共安全支出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五、事业收入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五、教育支出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六、事业单位经营收入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六、科学技术支出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七、上级补助收入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七、文化旅游体育与传媒支出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八、附属单位上缴收入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八、社会保障和就业支出</w:t>
            </w:r>
          </w:p>
        </w:tc>
        <w:tc>
          <w:tcPr>
            <w:tcW w:w="2126"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九、其他收入</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九、社会保险基金支出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十、卫生健康支出</w:t>
            </w:r>
          </w:p>
        </w:tc>
        <w:tc>
          <w:tcPr>
            <w:tcW w:w="2126"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十一、节能环保支出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十二、城乡社区支出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十三、农林水支出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十四、交通运输支出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十五、资源勘探工业信息等支出</w:t>
            </w:r>
          </w:p>
        </w:tc>
        <w:tc>
          <w:tcPr>
            <w:tcW w:w="2126"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十六、商业服务业等支出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十七、金融支出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十八、援助其他地区支出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十九、自然资源海洋气象等支出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二十、住房保障支出</w:t>
            </w:r>
          </w:p>
        </w:tc>
        <w:tc>
          <w:tcPr>
            <w:tcW w:w="2126"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二十一、粮油物资储备支出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二十二、国有资本经营预算支出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二十三、灾害防治及应急管理支出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24</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二十四、预备费</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二十五、其他支出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26</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二十六、转移性支出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二十七、债务还本支出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二十八、债务付息支出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二十九、债务发行费用支出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三十、抗疫特别国债安排的支出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w:t>
            </w:r>
          </w:p>
        </w:tc>
        <w:tc>
          <w:tcPr>
            <w:tcW w:w="4535" w:type="dxa"/>
            <w:vAlign w:val="center"/>
          </w:tcPr>
          <w:p>
            <w:pPr>
              <w:pStyle w:val="10"/>
              <w:rPr>
                <w:rFonts w:hint="eastAsia" w:asciiTheme="minorEastAsia" w:hAnsiTheme="minorEastAsia" w:eastAsiaTheme="minorEastAsia" w:cstheme="minorEastAsia"/>
                <w:b w:val="0"/>
                <w:bCs w:val="0"/>
              </w:rPr>
            </w:pP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三十一、往来性支出</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32</w:t>
            </w: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本年收入合计</w:t>
            </w:r>
          </w:p>
        </w:tc>
        <w:tc>
          <w:tcPr>
            <w:tcW w:w="2126"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本年支出合计</w:t>
            </w:r>
          </w:p>
        </w:tc>
        <w:tc>
          <w:tcPr>
            <w:tcW w:w="2126"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上年结转结余</w:t>
            </w:r>
          </w:p>
        </w:tc>
        <w:tc>
          <w:tcPr>
            <w:tcW w:w="2126" w:type="dxa"/>
            <w:vAlign w:val="center"/>
          </w:tcPr>
          <w:p>
            <w:pPr>
              <w:pStyle w:val="11"/>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年终结转结余</w:t>
            </w:r>
          </w:p>
        </w:tc>
        <w:tc>
          <w:tcPr>
            <w:tcW w:w="2126"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34</w:t>
            </w: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收入总计</w:t>
            </w:r>
          </w:p>
        </w:tc>
        <w:tc>
          <w:tcPr>
            <w:tcW w:w="2126"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支出总计</w:t>
            </w:r>
          </w:p>
        </w:tc>
        <w:tc>
          <w:tcPr>
            <w:tcW w:w="2126"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r>
    </w:tbl>
    <w:p>
      <w:pPr>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3402" w:type="dxa"/>
            <w:gridSpan w:val="3"/>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2551"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功能分类科目</w:t>
            </w:r>
          </w:p>
        </w:tc>
        <w:tc>
          <w:tcPr>
            <w:tcW w:w="1134"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9071" w:type="dxa"/>
            <w:gridSpan w:val="8"/>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本年收入</w:t>
            </w:r>
          </w:p>
        </w:tc>
        <w:tc>
          <w:tcPr>
            <w:tcW w:w="1134"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Theme="minorEastAsia" w:hAnsiTheme="minorEastAsia" w:eastAsiaTheme="minorEastAsia" w:cstheme="minorEastAsia"/>
                <w:b w:val="0"/>
                <w:bCs w:val="0"/>
              </w:rPr>
            </w:pPr>
          </w:p>
        </w:tc>
        <w:tc>
          <w:tcPr>
            <w:tcW w:w="99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    编码</w:t>
            </w:r>
          </w:p>
        </w:tc>
        <w:tc>
          <w:tcPr>
            <w:tcW w:w="1559"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科目名称</w:t>
            </w:r>
          </w:p>
        </w:tc>
        <w:tc>
          <w:tcPr>
            <w:tcW w:w="1134" w:type="dxa"/>
            <w:vMerge w:val="continue"/>
          </w:tcPr>
          <w:p>
            <w:pPr>
              <w:rPr>
                <w:rFonts w:hint="eastAsia" w:asciiTheme="minorEastAsia" w:hAnsiTheme="minorEastAsia" w:eastAsiaTheme="minorEastAsia" w:cstheme="minorEastAsia"/>
                <w:b w:val="0"/>
                <w:bCs w:val="0"/>
              </w:rPr>
            </w:pP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小计</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财政拨款 收入</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财政专户 收入</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事业收入</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经营收入</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上级补助收入</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附属单位上缴收入</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其他收入</w:t>
            </w:r>
          </w:p>
        </w:tc>
        <w:tc>
          <w:tcPr>
            <w:tcW w:w="1134" w:type="dxa"/>
            <w:vMerge w:val="continue"/>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99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1559"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113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992" w:type="dxa"/>
            <w:vAlign w:val="center"/>
          </w:tcPr>
          <w:p>
            <w:pPr>
              <w:pStyle w:val="14"/>
              <w:rPr>
                <w:rFonts w:hint="eastAsia" w:asciiTheme="minorEastAsia" w:hAnsiTheme="minorEastAsia" w:eastAsiaTheme="minorEastAsia" w:cstheme="minorEastAsia"/>
                <w:b w:val="0"/>
                <w:bCs w:val="0"/>
              </w:rPr>
            </w:pPr>
          </w:p>
        </w:tc>
        <w:tc>
          <w:tcPr>
            <w:tcW w:w="1559"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113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13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13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134" w:type="dxa"/>
            <w:vAlign w:val="center"/>
          </w:tcPr>
          <w:p>
            <w:pPr>
              <w:pStyle w:val="13"/>
              <w:rPr>
                <w:rFonts w:hint="eastAsia" w:asciiTheme="minorEastAsia" w:hAnsiTheme="minorEastAsia" w:eastAsiaTheme="minorEastAsia" w:cstheme="minorEastAsia"/>
                <w:b w:val="0"/>
                <w:bCs w:val="0"/>
              </w:rPr>
            </w:pPr>
          </w:p>
        </w:tc>
        <w:tc>
          <w:tcPr>
            <w:tcW w:w="1134" w:type="dxa"/>
            <w:vAlign w:val="center"/>
          </w:tcPr>
          <w:p>
            <w:pPr>
              <w:pStyle w:val="13"/>
              <w:rPr>
                <w:rFonts w:hint="eastAsia" w:asciiTheme="minorEastAsia" w:hAnsiTheme="minorEastAsia" w:eastAsiaTheme="minorEastAsia" w:cstheme="minorEastAsia"/>
                <w:b w:val="0"/>
                <w:bCs w:val="0"/>
              </w:rPr>
            </w:pPr>
          </w:p>
        </w:tc>
        <w:tc>
          <w:tcPr>
            <w:tcW w:w="1134" w:type="dxa"/>
            <w:vAlign w:val="center"/>
          </w:tcPr>
          <w:p>
            <w:pPr>
              <w:pStyle w:val="13"/>
              <w:rPr>
                <w:rFonts w:hint="eastAsia" w:asciiTheme="minorEastAsia" w:hAnsiTheme="minorEastAsia" w:eastAsiaTheme="minorEastAsia" w:cstheme="minorEastAsia"/>
                <w:b w:val="0"/>
                <w:bCs w:val="0"/>
              </w:rPr>
            </w:pPr>
          </w:p>
        </w:tc>
        <w:tc>
          <w:tcPr>
            <w:tcW w:w="1134" w:type="dxa"/>
            <w:vAlign w:val="center"/>
          </w:tcPr>
          <w:p>
            <w:pPr>
              <w:pStyle w:val="13"/>
              <w:rPr>
                <w:rFonts w:hint="eastAsia" w:asciiTheme="minorEastAsia" w:hAnsiTheme="minorEastAsia" w:eastAsiaTheme="minorEastAsia" w:cstheme="minorEastAsia"/>
                <w:b w:val="0"/>
                <w:bCs w:val="0"/>
              </w:rPr>
            </w:pPr>
          </w:p>
        </w:tc>
        <w:tc>
          <w:tcPr>
            <w:tcW w:w="1134" w:type="dxa"/>
            <w:vAlign w:val="center"/>
          </w:tcPr>
          <w:p>
            <w:pPr>
              <w:pStyle w:val="13"/>
              <w:rPr>
                <w:rFonts w:hint="eastAsia" w:asciiTheme="minorEastAsia" w:hAnsiTheme="minorEastAsia" w:eastAsiaTheme="minorEastAsia" w:cstheme="minorEastAsia"/>
                <w:b w:val="0"/>
                <w:bCs w:val="0"/>
              </w:rPr>
            </w:pPr>
          </w:p>
        </w:tc>
        <w:tc>
          <w:tcPr>
            <w:tcW w:w="1134" w:type="dxa"/>
            <w:vAlign w:val="center"/>
          </w:tcPr>
          <w:p>
            <w:pPr>
              <w:pStyle w:val="13"/>
              <w:rPr>
                <w:rFonts w:hint="eastAsia" w:asciiTheme="minorEastAsia" w:hAnsiTheme="minorEastAsia" w:eastAsiaTheme="minorEastAsia" w:cstheme="minorEastAsia"/>
                <w:b w:val="0"/>
                <w:bCs w:val="0"/>
              </w:rPr>
            </w:pPr>
          </w:p>
        </w:tc>
        <w:tc>
          <w:tcPr>
            <w:tcW w:w="1134" w:type="dxa"/>
            <w:vAlign w:val="center"/>
          </w:tcPr>
          <w:p>
            <w:pPr>
              <w:pStyle w:val="13"/>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社会保障和就业支出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行政事业单位养老支出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2080501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行政单位离退休</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2080505</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机关事业单位基本养老保险缴费支出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抚恤</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2080801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死亡抚恤</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2080802</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伤残抚恤</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卫生健康支出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行政事业单位医疗</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2101101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行政单位医疗</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2101103</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公务员医疗补助</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资源勘探工业信息等支出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工业和信息产业监管</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2150501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行政运行</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2150517</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产业发展</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住房保障支出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22102</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住房改革支出</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2210201</w:t>
            </w:r>
          </w:p>
        </w:tc>
        <w:tc>
          <w:tcPr>
            <w:tcW w:w="155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住房公积金</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c>
          <w:tcPr>
            <w:tcW w:w="1134" w:type="dxa"/>
            <w:vAlign w:val="center"/>
          </w:tcPr>
          <w:p>
            <w:pPr>
              <w:pStyle w:val="11"/>
              <w:rPr>
                <w:rFonts w:hint="eastAsia" w:asciiTheme="minorEastAsia" w:hAnsiTheme="minorEastAsia" w:eastAsiaTheme="minorEastAsia" w:cstheme="minorEastAsia"/>
                <w:b w:val="0"/>
                <w:bCs w:val="0"/>
              </w:rPr>
            </w:pPr>
          </w:p>
        </w:tc>
      </w:tr>
    </w:tbl>
    <w:p>
      <w:pPr>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721" w:type="dxa"/>
            <w:gridSpan w:val="2"/>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5528"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功能分类科目</w:t>
            </w:r>
          </w:p>
        </w:tc>
        <w:tc>
          <w:tcPr>
            <w:tcW w:w="136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136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基本支出</w:t>
            </w:r>
          </w:p>
        </w:tc>
        <w:tc>
          <w:tcPr>
            <w:tcW w:w="136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项目支出</w:t>
            </w:r>
          </w:p>
        </w:tc>
        <w:tc>
          <w:tcPr>
            <w:tcW w:w="136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经营支出</w:t>
            </w:r>
          </w:p>
        </w:tc>
        <w:tc>
          <w:tcPr>
            <w:tcW w:w="136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上解上级     支出</w:t>
            </w:r>
          </w:p>
        </w:tc>
        <w:tc>
          <w:tcPr>
            <w:tcW w:w="136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99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    编码</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科目名称</w:t>
            </w:r>
          </w:p>
        </w:tc>
        <w:tc>
          <w:tcPr>
            <w:tcW w:w="1361" w:type="dxa"/>
            <w:vMerge w:val="continue"/>
          </w:tcPr>
          <w:p>
            <w:pPr>
              <w:rPr>
                <w:rFonts w:hint="eastAsia" w:asciiTheme="minorEastAsia" w:hAnsiTheme="minorEastAsia" w:eastAsiaTheme="minorEastAsia" w:cstheme="minorEastAsia"/>
                <w:b w:val="0"/>
                <w:bCs w:val="0"/>
              </w:rPr>
            </w:pPr>
          </w:p>
        </w:tc>
        <w:tc>
          <w:tcPr>
            <w:tcW w:w="1361" w:type="dxa"/>
            <w:vMerge w:val="continue"/>
          </w:tcPr>
          <w:p>
            <w:pPr>
              <w:rPr>
                <w:rFonts w:hint="eastAsia" w:asciiTheme="minorEastAsia" w:hAnsiTheme="minorEastAsia" w:eastAsiaTheme="minorEastAsia" w:cstheme="minorEastAsia"/>
                <w:b w:val="0"/>
                <w:bCs w:val="0"/>
              </w:rPr>
            </w:pPr>
          </w:p>
        </w:tc>
        <w:tc>
          <w:tcPr>
            <w:tcW w:w="1361" w:type="dxa"/>
            <w:vMerge w:val="continue"/>
          </w:tcPr>
          <w:p>
            <w:pPr>
              <w:rPr>
                <w:rFonts w:hint="eastAsia" w:asciiTheme="minorEastAsia" w:hAnsiTheme="minorEastAsia" w:eastAsiaTheme="minorEastAsia" w:cstheme="minorEastAsia"/>
                <w:b w:val="0"/>
                <w:bCs w:val="0"/>
              </w:rPr>
            </w:pPr>
          </w:p>
        </w:tc>
        <w:tc>
          <w:tcPr>
            <w:tcW w:w="1361" w:type="dxa"/>
            <w:vMerge w:val="continue"/>
          </w:tcPr>
          <w:p>
            <w:pPr>
              <w:rPr>
                <w:rFonts w:hint="eastAsia" w:asciiTheme="minorEastAsia" w:hAnsiTheme="minorEastAsia" w:eastAsiaTheme="minorEastAsia" w:cstheme="minorEastAsia"/>
                <w:b w:val="0"/>
                <w:bCs w:val="0"/>
              </w:rPr>
            </w:pPr>
          </w:p>
        </w:tc>
        <w:tc>
          <w:tcPr>
            <w:tcW w:w="1361" w:type="dxa"/>
            <w:vMerge w:val="continue"/>
          </w:tcPr>
          <w:p>
            <w:pPr>
              <w:rPr>
                <w:rFonts w:hint="eastAsia" w:asciiTheme="minorEastAsia" w:hAnsiTheme="minorEastAsia" w:eastAsiaTheme="minorEastAsia" w:cstheme="minorEastAsia"/>
                <w:b w:val="0"/>
                <w:bCs w:val="0"/>
              </w:rPr>
            </w:pPr>
          </w:p>
        </w:tc>
        <w:tc>
          <w:tcPr>
            <w:tcW w:w="1361" w:type="dxa"/>
            <w:vMerge w:val="continue"/>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99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136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136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136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136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136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136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992" w:type="dxa"/>
            <w:vAlign w:val="center"/>
          </w:tcPr>
          <w:p>
            <w:pPr>
              <w:pStyle w:val="14"/>
              <w:rPr>
                <w:rFonts w:hint="eastAsia" w:asciiTheme="minorEastAsia" w:hAnsiTheme="minorEastAsia" w:eastAsiaTheme="minorEastAsia" w:cstheme="minorEastAsia"/>
                <w:b w:val="0"/>
                <w:bCs w:val="0"/>
              </w:rPr>
            </w:pP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136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36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2657.95</w:t>
            </w:r>
          </w:p>
        </w:tc>
        <w:tc>
          <w:tcPr>
            <w:tcW w:w="136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361" w:type="dxa"/>
            <w:vAlign w:val="center"/>
          </w:tcPr>
          <w:p>
            <w:pPr>
              <w:pStyle w:val="13"/>
              <w:rPr>
                <w:rFonts w:hint="eastAsia" w:asciiTheme="minorEastAsia" w:hAnsiTheme="minorEastAsia" w:eastAsiaTheme="minorEastAsia" w:cstheme="minorEastAsia"/>
                <w:b w:val="0"/>
                <w:bCs w:val="0"/>
              </w:rPr>
            </w:pPr>
          </w:p>
        </w:tc>
        <w:tc>
          <w:tcPr>
            <w:tcW w:w="1361" w:type="dxa"/>
            <w:vAlign w:val="center"/>
          </w:tcPr>
          <w:p>
            <w:pPr>
              <w:pStyle w:val="13"/>
              <w:rPr>
                <w:rFonts w:hint="eastAsia" w:asciiTheme="minorEastAsia" w:hAnsiTheme="minorEastAsia" w:eastAsiaTheme="minorEastAsia" w:cstheme="minorEastAsia"/>
                <w:b w:val="0"/>
                <w:bCs w:val="0"/>
              </w:rPr>
            </w:pPr>
          </w:p>
        </w:tc>
        <w:tc>
          <w:tcPr>
            <w:tcW w:w="1361" w:type="dxa"/>
            <w:vAlign w:val="center"/>
          </w:tcPr>
          <w:p>
            <w:pPr>
              <w:pStyle w:val="13"/>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社会保障和就业支出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行政事业单位养老支出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行政单位离退休</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机关事业单位基本养老保险缴费支出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抚恤</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死亡抚恤</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伤残抚恤</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卫生健康支出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行政事业单位医疗</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行政单位医疗</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2101103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公务员医疗补助</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资源勘探工业信息等支出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工业和信息产业监管</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行政运行</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2150517</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产业发展</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住房保障支出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住房改革支出</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w:t>
            </w:r>
          </w:p>
        </w:tc>
        <w:tc>
          <w:tcPr>
            <w:tcW w:w="99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2210201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住房公积金</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36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c>
          <w:tcPr>
            <w:tcW w:w="1361" w:type="dxa"/>
            <w:vAlign w:val="center"/>
          </w:tcPr>
          <w:p>
            <w:pPr>
              <w:pStyle w:val="11"/>
              <w:rPr>
                <w:rFonts w:hint="eastAsia" w:asciiTheme="minorEastAsia" w:hAnsiTheme="minorEastAsia" w:eastAsiaTheme="minorEastAsia" w:cstheme="minorEastAsia"/>
                <w:b w:val="0"/>
                <w:bCs w:val="0"/>
              </w:rPr>
            </w:pPr>
          </w:p>
        </w:tc>
      </w:tr>
    </w:tbl>
    <w:p>
      <w:pPr>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3402"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4876"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收入</w:t>
            </w:r>
          </w:p>
        </w:tc>
        <w:tc>
          <w:tcPr>
            <w:tcW w:w="9298" w:type="dxa"/>
            <w:gridSpan w:val="5"/>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340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  目</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金额</w:t>
            </w:r>
          </w:p>
        </w:tc>
        <w:tc>
          <w:tcPr>
            <w:tcW w:w="340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  目</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一般公共预算财政拨款</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政府性基金预算财政    拨款</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340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340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1474"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一、一般公共预算拨款</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一、一般公共服务支出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二、政府性基金预算拨款</w:t>
            </w: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二、外交支出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三、国有资本经营预算拨款</w:t>
            </w: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三、国防支出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四、公共安全支出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五、教育支出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六、科学技术支出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七、文化旅游体育与传媒支出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八、社会保障和就业支出</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九、社会保险基金支出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十、卫生健康支出</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十一、节能环保支出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十二、城乡社区支出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十三、农林水支出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十四、交通运输支出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十五、资源勘探工业信息等支出</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十六、商业服务业等支出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十七、金融支出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十八、援助其他地区支出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十九、自然资源海洋气象等支出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二十、住房保障支出</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474"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二十一、粮油物资储备支出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二十二、国有资本经营预算支出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二十三、灾害防治及应急管理支出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24</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二十四、预备费</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二十五、其他支出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26</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二十六、转移性支出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二十七、债务还本支出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二十八、债务付息支出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二十九、债务发行费用支出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三十、抗疫特别国债安排的支出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w:t>
            </w: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三十一、往来性支出</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32</w:t>
            </w:r>
          </w:p>
        </w:tc>
        <w:tc>
          <w:tcPr>
            <w:tcW w:w="3402"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本年收入合计</w:t>
            </w:r>
          </w:p>
        </w:tc>
        <w:tc>
          <w:tcPr>
            <w:tcW w:w="147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3402"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本年支出合计</w:t>
            </w:r>
          </w:p>
        </w:tc>
        <w:tc>
          <w:tcPr>
            <w:tcW w:w="147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47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474" w:type="dxa"/>
            <w:vAlign w:val="center"/>
          </w:tcPr>
          <w:p>
            <w:pPr>
              <w:pStyle w:val="13"/>
              <w:rPr>
                <w:rFonts w:hint="eastAsia" w:asciiTheme="minorEastAsia" w:hAnsiTheme="minorEastAsia" w:eastAsiaTheme="minorEastAsia" w:cstheme="minorEastAsia"/>
                <w:b w:val="0"/>
                <w:bCs w:val="0"/>
              </w:rPr>
            </w:pPr>
          </w:p>
        </w:tc>
        <w:tc>
          <w:tcPr>
            <w:tcW w:w="1474" w:type="dxa"/>
            <w:vAlign w:val="center"/>
          </w:tcPr>
          <w:p>
            <w:pPr>
              <w:pStyle w:val="13"/>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33</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年初财政拨款结转和结余</w:t>
            </w: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年末财政拨款结转和结余</w:t>
            </w: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34</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一、一般公共预算拨款</w:t>
            </w: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35</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二、政府性基金预算拨款</w:t>
            </w: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36</w:t>
            </w:r>
          </w:p>
        </w:tc>
        <w:tc>
          <w:tcPr>
            <w:tcW w:w="3402"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三、国有资本经营预算拨款</w:t>
            </w:r>
          </w:p>
        </w:tc>
        <w:tc>
          <w:tcPr>
            <w:tcW w:w="1474" w:type="dxa"/>
            <w:vAlign w:val="center"/>
          </w:tcPr>
          <w:p>
            <w:pPr>
              <w:pStyle w:val="11"/>
              <w:rPr>
                <w:rFonts w:hint="eastAsia" w:asciiTheme="minorEastAsia" w:hAnsiTheme="minorEastAsia" w:eastAsiaTheme="minorEastAsia" w:cstheme="minorEastAsia"/>
                <w:b w:val="0"/>
                <w:bCs w:val="0"/>
              </w:rPr>
            </w:pPr>
          </w:p>
        </w:tc>
        <w:tc>
          <w:tcPr>
            <w:tcW w:w="3402" w:type="dxa"/>
            <w:vAlign w:val="center"/>
          </w:tcPr>
          <w:p>
            <w:pPr>
              <w:pStyle w:val="10"/>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c>
          <w:tcPr>
            <w:tcW w:w="1474"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37</w:t>
            </w:r>
          </w:p>
        </w:tc>
        <w:tc>
          <w:tcPr>
            <w:tcW w:w="3402"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收入总计</w:t>
            </w:r>
          </w:p>
        </w:tc>
        <w:tc>
          <w:tcPr>
            <w:tcW w:w="147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3402"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支出总计</w:t>
            </w:r>
          </w:p>
        </w:tc>
        <w:tc>
          <w:tcPr>
            <w:tcW w:w="147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474"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1474" w:type="dxa"/>
            <w:vAlign w:val="center"/>
          </w:tcPr>
          <w:p>
            <w:pPr>
              <w:pStyle w:val="13"/>
              <w:rPr>
                <w:rFonts w:hint="eastAsia" w:asciiTheme="minorEastAsia" w:hAnsiTheme="minorEastAsia" w:eastAsiaTheme="minorEastAsia" w:cstheme="minorEastAsia"/>
                <w:b w:val="0"/>
                <w:bCs w:val="0"/>
              </w:rPr>
            </w:pPr>
          </w:p>
        </w:tc>
        <w:tc>
          <w:tcPr>
            <w:tcW w:w="1474" w:type="dxa"/>
            <w:vAlign w:val="center"/>
          </w:tcPr>
          <w:p>
            <w:pPr>
              <w:pStyle w:val="13"/>
              <w:rPr>
                <w:rFonts w:hint="eastAsia" w:asciiTheme="minorEastAsia" w:hAnsiTheme="minorEastAsia" w:eastAsiaTheme="minorEastAsia" w:cstheme="minorEastAsia"/>
                <w:b w:val="0"/>
                <w:bCs w:val="0"/>
              </w:rPr>
            </w:pPr>
          </w:p>
        </w:tc>
      </w:tr>
    </w:tbl>
    <w:p>
      <w:pPr>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5726"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功能分类科目</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基本支出</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科目编码</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科目名称</w:t>
            </w:r>
          </w:p>
        </w:tc>
        <w:tc>
          <w:tcPr>
            <w:tcW w:w="2551" w:type="dxa"/>
            <w:vMerge w:val="continue"/>
          </w:tcPr>
          <w:p>
            <w:pPr>
              <w:rPr>
                <w:rFonts w:hint="eastAsia" w:asciiTheme="minorEastAsia" w:hAnsiTheme="minorEastAsia" w:eastAsiaTheme="minorEastAsia" w:cstheme="minorEastAsia"/>
                <w:b w:val="0"/>
                <w:bCs w:val="0"/>
              </w:rPr>
            </w:pPr>
          </w:p>
        </w:tc>
        <w:tc>
          <w:tcPr>
            <w:tcW w:w="2551" w:type="dxa"/>
            <w:vMerge w:val="continue"/>
          </w:tcPr>
          <w:p>
            <w:pPr>
              <w:rPr>
                <w:rFonts w:hint="eastAsia" w:asciiTheme="minorEastAsia" w:hAnsiTheme="minorEastAsia" w:eastAsiaTheme="minorEastAsia" w:cstheme="minorEastAsia"/>
                <w:b w:val="0"/>
                <w:bCs w:val="0"/>
              </w:rPr>
            </w:pPr>
          </w:p>
        </w:tc>
        <w:tc>
          <w:tcPr>
            <w:tcW w:w="2551" w:type="dxa"/>
            <w:vMerge w:val="continue"/>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1191" w:type="dxa"/>
            <w:vAlign w:val="center"/>
          </w:tcPr>
          <w:p>
            <w:pPr>
              <w:pStyle w:val="14"/>
              <w:rPr>
                <w:rFonts w:hint="eastAsia" w:asciiTheme="minorEastAsia" w:hAnsiTheme="minorEastAsia" w:eastAsiaTheme="minorEastAsia" w:cstheme="minorEastAsia"/>
                <w:b w:val="0"/>
                <w:bCs w:val="0"/>
              </w:rPr>
            </w:pP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55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3152.95</w:t>
            </w:r>
          </w:p>
        </w:tc>
        <w:tc>
          <w:tcPr>
            <w:tcW w:w="255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2657.95</w:t>
            </w:r>
          </w:p>
        </w:tc>
        <w:tc>
          <w:tcPr>
            <w:tcW w:w="255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社会保障和就业支出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1405.75</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行政事业单位养老支出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1375.95</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行政单位离退休</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1268.70</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2080505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机关事业单位基本养老保险缴费支出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抚恤</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29.80</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死亡抚恤</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2080802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伤残抚恤</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卫生健康支出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行政事业单位医疗</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64.61</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行政单位医疗</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57.91</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2101103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公务员医疗补助</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资源勘探工业信息等支出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工业和信息产业监管</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1602.15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行政运行</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1107.15</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2150517</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产业发展</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住房保障支出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住房改革支出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2210201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住房公积金</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p>
        </w:tc>
      </w:tr>
    </w:tbl>
    <w:p>
      <w:pPr>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5726"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支出部门经济分类科目</w:t>
            </w:r>
          </w:p>
        </w:tc>
        <w:tc>
          <w:tcPr>
            <w:tcW w:w="7654" w:type="dxa"/>
            <w:gridSpan w:val="3"/>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科目编码</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科目名称</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人员经费</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1191" w:type="dxa"/>
            <w:vAlign w:val="center"/>
          </w:tcPr>
          <w:p>
            <w:pPr>
              <w:pStyle w:val="14"/>
              <w:rPr>
                <w:rFonts w:hint="eastAsia" w:asciiTheme="minorEastAsia" w:hAnsiTheme="minorEastAsia" w:eastAsiaTheme="minorEastAsia" w:cstheme="minorEastAsia"/>
                <w:b w:val="0"/>
                <w:bCs w:val="0"/>
              </w:rPr>
            </w:pPr>
          </w:p>
        </w:tc>
        <w:tc>
          <w:tcPr>
            <w:tcW w:w="4535"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55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2657.95</w:t>
            </w:r>
          </w:p>
        </w:tc>
        <w:tc>
          <w:tcPr>
            <w:tcW w:w="255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2460.91</w:t>
            </w:r>
          </w:p>
        </w:tc>
        <w:tc>
          <w:tcPr>
            <w:tcW w:w="255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工资福利支出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1215.99</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1215.99</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基本工资</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437.16</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437.16</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津贴补贴</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287.13</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287.13</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30103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奖金</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186.51</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186.51</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30107</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绩效工资</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52.89</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52.89</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30108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机关事业单位基本养老保险缴费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107.25</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30110</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城镇职工基本医疗保险缴费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43.57</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43.57</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30111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公务员医疗补助缴费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6.70</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30112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其他社会保障缴费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14.34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14.34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30113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住房公积金</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商品和服务支出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197.04</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办公费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21.43</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14</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30207</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邮电费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36.00</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30212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因公出国（境）费用</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3021202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其他因公出国（境）费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30217</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公务接待费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0.91</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30228</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工会经费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19</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30229</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福利费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9.42</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30231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公务用车运行维护费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2.80</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21</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30239</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其他交通费用</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53.09</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22</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30299</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其他商品和服务支出</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55.35</w:t>
            </w: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303</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对个人和家庭的补助</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1244.92</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1244.92</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24</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30301</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离休费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239.60</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239.60</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30302</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退休费</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975.44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975.44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26</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30304</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抚恤金</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12.24</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30305</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生活补助</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17.56</w:t>
            </w:r>
          </w:p>
        </w:tc>
        <w:tc>
          <w:tcPr>
            <w:tcW w:w="255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28</w:t>
            </w:r>
          </w:p>
        </w:tc>
        <w:tc>
          <w:tcPr>
            <w:tcW w:w="1191"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30309</w:t>
            </w:r>
          </w:p>
        </w:tc>
        <w:tc>
          <w:tcPr>
            <w:tcW w:w="4535"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奖励金</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0.08</w:t>
            </w:r>
          </w:p>
        </w:tc>
        <w:tc>
          <w:tcPr>
            <w:tcW w:w="255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0.08</w:t>
            </w:r>
          </w:p>
        </w:tc>
        <w:tc>
          <w:tcPr>
            <w:tcW w:w="2551" w:type="dxa"/>
            <w:vAlign w:val="center"/>
          </w:tcPr>
          <w:p>
            <w:pPr>
              <w:pStyle w:val="11"/>
              <w:rPr>
                <w:rFonts w:hint="eastAsia" w:asciiTheme="minorEastAsia" w:hAnsiTheme="minorEastAsia" w:eastAsiaTheme="minorEastAsia" w:cstheme="minorEastAsia"/>
                <w:b w:val="0"/>
                <w:bCs w:val="0"/>
              </w:rPr>
            </w:pPr>
          </w:p>
        </w:tc>
      </w:tr>
    </w:tbl>
    <w:p>
      <w:pPr>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5726"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功能分类科目</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基本支出</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科目编码</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科目名称</w:t>
            </w:r>
          </w:p>
        </w:tc>
        <w:tc>
          <w:tcPr>
            <w:tcW w:w="2551" w:type="dxa"/>
            <w:vMerge w:val="continue"/>
          </w:tcPr>
          <w:p>
            <w:pPr>
              <w:rPr>
                <w:rFonts w:hint="eastAsia" w:asciiTheme="minorEastAsia" w:hAnsiTheme="minorEastAsia" w:eastAsiaTheme="minorEastAsia" w:cstheme="minorEastAsia"/>
                <w:b w:val="0"/>
                <w:bCs w:val="0"/>
              </w:rPr>
            </w:pPr>
          </w:p>
        </w:tc>
        <w:tc>
          <w:tcPr>
            <w:tcW w:w="2551" w:type="dxa"/>
            <w:vMerge w:val="continue"/>
          </w:tcPr>
          <w:p>
            <w:pPr>
              <w:rPr>
                <w:rFonts w:hint="eastAsia" w:asciiTheme="minorEastAsia" w:hAnsiTheme="minorEastAsia" w:eastAsiaTheme="minorEastAsia" w:cstheme="minorEastAsia"/>
                <w:b w:val="0"/>
                <w:bCs w:val="0"/>
              </w:rPr>
            </w:pPr>
          </w:p>
        </w:tc>
        <w:tc>
          <w:tcPr>
            <w:tcW w:w="2551" w:type="dxa"/>
            <w:vMerge w:val="continue"/>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p>
        </w:tc>
        <w:tc>
          <w:tcPr>
            <w:tcW w:w="1191" w:type="dxa"/>
            <w:vAlign w:val="center"/>
          </w:tcPr>
          <w:p>
            <w:pPr>
              <w:pStyle w:val="10"/>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p>
        </w:tc>
      </w:tr>
    </w:tbl>
    <w:p>
      <w:pPr>
        <w:ind w:firstLine="420"/>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b w:val="0"/>
          <w:bCs w:val="0"/>
          <w:color w:val="000000"/>
          <w:sz w:val="21"/>
        </w:rPr>
        <w:t>注：无政府基金预算财政拨款预算，空表列示。</w:t>
      </w: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5726" w:type="dxa"/>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功能分类科目</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基本支出</w:t>
            </w:r>
          </w:p>
        </w:tc>
        <w:tc>
          <w:tcPr>
            <w:tcW w:w="2551"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科目编码</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科目名称</w:t>
            </w:r>
          </w:p>
        </w:tc>
        <w:tc>
          <w:tcPr>
            <w:tcW w:w="2551" w:type="dxa"/>
            <w:vMerge w:val="continue"/>
          </w:tcPr>
          <w:p>
            <w:pPr>
              <w:rPr>
                <w:rFonts w:hint="eastAsia" w:asciiTheme="minorEastAsia" w:hAnsiTheme="minorEastAsia" w:eastAsiaTheme="minorEastAsia" w:cstheme="minorEastAsia"/>
                <w:b w:val="0"/>
                <w:bCs w:val="0"/>
              </w:rPr>
            </w:pPr>
          </w:p>
        </w:tc>
        <w:tc>
          <w:tcPr>
            <w:tcW w:w="2551" w:type="dxa"/>
            <w:vMerge w:val="continue"/>
          </w:tcPr>
          <w:p>
            <w:pPr>
              <w:rPr>
                <w:rFonts w:hint="eastAsia" w:asciiTheme="minorEastAsia" w:hAnsiTheme="minorEastAsia" w:eastAsiaTheme="minorEastAsia" w:cstheme="minorEastAsia"/>
                <w:b w:val="0"/>
                <w:bCs w:val="0"/>
              </w:rPr>
            </w:pPr>
          </w:p>
        </w:tc>
        <w:tc>
          <w:tcPr>
            <w:tcW w:w="2551" w:type="dxa"/>
            <w:vMerge w:val="continue"/>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119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45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255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rPr>
                <w:rFonts w:hint="eastAsia" w:asciiTheme="minorEastAsia" w:hAnsiTheme="minorEastAsia" w:eastAsiaTheme="minorEastAsia" w:cstheme="minorEastAsia"/>
                <w:b w:val="0"/>
                <w:bCs w:val="0"/>
              </w:rPr>
            </w:pPr>
          </w:p>
        </w:tc>
        <w:tc>
          <w:tcPr>
            <w:tcW w:w="1191" w:type="dxa"/>
            <w:vAlign w:val="center"/>
          </w:tcPr>
          <w:p>
            <w:pPr>
              <w:pStyle w:val="10"/>
              <w:rPr>
                <w:rFonts w:hint="eastAsia" w:asciiTheme="minorEastAsia" w:hAnsiTheme="minorEastAsia" w:eastAsiaTheme="minorEastAsia" w:cstheme="minorEastAsia"/>
                <w:b w:val="0"/>
                <w:bCs w:val="0"/>
              </w:rPr>
            </w:pPr>
          </w:p>
        </w:tc>
        <w:tc>
          <w:tcPr>
            <w:tcW w:w="4535" w:type="dxa"/>
            <w:vAlign w:val="center"/>
          </w:tcPr>
          <w:p>
            <w:pPr>
              <w:pStyle w:val="10"/>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p>
        </w:tc>
        <w:tc>
          <w:tcPr>
            <w:tcW w:w="2551" w:type="dxa"/>
            <w:vAlign w:val="center"/>
          </w:tcPr>
          <w:p>
            <w:pPr>
              <w:pStyle w:val="11"/>
              <w:rPr>
                <w:rFonts w:hint="eastAsia" w:asciiTheme="minorEastAsia" w:hAnsiTheme="minorEastAsia" w:eastAsiaTheme="minorEastAsia" w:cstheme="minorEastAsia"/>
                <w:b w:val="0"/>
                <w:bCs w:val="0"/>
              </w:rPr>
            </w:pPr>
          </w:p>
        </w:tc>
      </w:tr>
    </w:tbl>
    <w:p>
      <w:pPr>
        <w:ind w:firstLine="420"/>
        <w:rPr>
          <w:rFonts w:hint="eastAsia" w:asciiTheme="minorEastAsia" w:hAnsiTheme="minorEastAsia" w:eastAsiaTheme="minorEastAsia" w:cstheme="minorEastAsia"/>
          <w:b w:val="0"/>
          <w:bCs w:val="0"/>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b w:val="0"/>
          <w:bCs w:val="0"/>
          <w:color w:val="000000"/>
          <w:sz w:val="21"/>
        </w:rPr>
        <w:t>注：无国有资本经营预算财政拨款预算，空表列示。</w:t>
      </w:r>
    </w:p>
    <w:p>
      <w:pPr>
        <w:jc w:val="center"/>
        <w:outlineLvl w:val="4"/>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381" w:type="dxa"/>
            <w:tcBorders>
              <w:top w:val="single" w:color="FFFFFF" w:sz="6" w:space="0"/>
              <w:left w:val="single" w:color="FFFFFF" w:sz="6" w:space="0"/>
              <w:right w:val="single" w:color="FFFFFF" w:sz="6" w:space="0"/>
            </w:tcBorders>
            <w:vAlign w:val="center"/>
          </w:tcPr>
          <w:p>
            <w:pPr>
              <w:pStyle w:val="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序号</w:t>
            </w:r>
          </w:p>
        </w:tc>
        <w:tc>
          <w:tcPr>
            <w:tcW w:w="3798" w:type="dxa"/>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  目</w:t>
            </w:r>
          </w:p>
        </w:tc>
        <w:tc>
          <w:tcPr>
            <w:tcW w:w="9525" w:type="dxa"/>
            <w:gridSpan w:val="4"/>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Theme="minorEastAsia" w:hAnsiTheme="minorEastAsia" w:eastAsiaTheme="minorEastAsia" w:cstheme="minorEastAsia"/>
                <w:b w:val="0"/>
                <w:bCs w:val="0"/>
              </w:rPr>
            </w:pPr>
          </w:p>
        </w:tc>
        <w:tc>
          <w:tcPr>
            <w:tcW w:w="3798" w:type="dxa"/>
            <w:vMerge w:val="continue"/>
          </w:tcPr>
          <w:p>
            <w:pPr>
              <w:rPr>
                <w:rFonts w:hint="eastAsia" w:asciiTheme="minorEastAsia" w:hAnsiTheme="minorEastAsia" w:eastAsiaTheme="minorEastAsia" w:cstheme="minorEastAsia"/>
                <w:b w:val="0"/>
                <w:bCs w:val="0"/>
              </w:rPr>
            </w:pPr>
          </w:p>
        </w:tc>
        <w:tc>
          <w:tcPr>
            <w:tcW w:w="238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38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              财政拨款</w:t>
            </w:r>
          </w:p>
        </w:tc>
        <w:tc>
          <w:tcPr>
            <w:tcW w:w="238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政府性基金                  预算拨款</w:t>
            </w:r>
          </w:p>
        </w:tc>
        <w:tc>
          <w:tcPr>
            <w:tcW w:w="238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栏次</w:t>
            </w:r>
          </w:p>
        </w:tc>
        <w:tc>
          <w:tcPr>
            <w:tcW w:w="3798"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382"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238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238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w:t>
            </w:r>
          </w:p>
        </w:tc>
        <w:tc>
          <w:tcPr>
            <w:tcW w:w="2381"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3798" w:type="dxa"/>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2382" w:type="dxa"/>
            <w:vAlign w:val="center"/>
          </w:tcPr>
          <w:p>
            <w:pPr>
              <w:pStyle w:val="13"/>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23.71</w:t>
            </w:r>
          </w:p>
        </w:tc>
        <w:tc>
          <w:tcPr>
            <w:tcW w:w="2381" w:type="dxa"/>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23</w:t>
            </w:r>
            <w:r>
              <w:rPr>
                <w:rFonts w:hint="eastAsia" w:asciiTheme="minorEastAsia" w:hAnsiTheme="minorEastAsia" w:eastAsiaTheme="minorEastAsia" w:cstheme="minorEastAsia"/>
                <w:b w:val="0"/>
                <w:bCs w:val="0"/>
              </w:rPr>
              <w:t>.71</w:t>
            </w:r>
          </w:p>
        </w:tc>
        <w:tc>
          <w:tcPr>
            <w:tcW w:w="2381" w:type="dxa"/>
            <w:vAlign w:val="center"/>
          </w:tcPr>
          <w:p>
            <w:pPr>
              <w:pStyle w:val="13"/>
              <w:rPr>
                <w:rFonts w:hint="eastAsia" w:asciiTheme="minorEastAsia" w:hAnsiTheme="minorEastAsia" w:eastAsiaTheme="minorEastAsia" w:cstheme="minorEastAsia"/>
                <w:b w:val="0"/>
                <w:bCs w:val="0"/>
              </w:rPr>
            </w:pPr>
          </w:p>
        </w:tc>
        <w:tc>
          <w:tcPr>
            <w:tcW w:w="2381" w:type="dxa"/>
            <w:vAlign w:val="center"/>
          </w:tcPr>
          <w:p>
            <w:pPr>
              <w:pStyle w:val="13"/>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2</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一、因公出国（境）费</w:t>
            </w:r>
          </w:p>
        </w:tc>
        <w:tc>
          <w:tcPr>
            <w:tcW w:w="2382"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c>
          <w:tcPr>
            <w:tcW w:w="238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其中：教学科研人员因公出国（境）费</w:t>
            </w:r>
          </w:p>
        </w:tc>
        <w:tc>
          <w:tcPr>
            <w:tcW w:w="2382"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4</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其他因公出国（境）费</w:t>
            </w:r>
          </w:p>
        </w:tc>
        <w:tc>
          <w:tcPr>
            <w:tcW w:w="2382"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c>
          <w:tcPr>
            <w:tcW w:w="238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w:t>
            </w: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5</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二、公务用车购置及运维费</w:t>
            </w:r>
          </w:p>
        </w:tc>
        <w:tc>
          <w:tcPr>
            <w:tcW w:w="2382"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7.80</w:t>
            </w:r>
          </w:p>
        </w:tc>
        <w:tc>
          <w:tcPr>
            <w:tcW w:w="238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7.80</w:t>
            </w: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6</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其中：公务用车购置费</w:t>
            </w:r>
          </w:p>
        </w:tc>
        <w:tc>
          <w:tcPr>
            <w:tcW w:w="2382"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7</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公务用车运行维护费</w:t>
            </w:r>
          </w:p>
        </w:tc>
        <w:tc>
          <w:tcPr>
            <w:tcW w:w="2382"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7.80</w:t>
            </w:r>
          </w:p>
        </w:tc>
        <w:tc>
          <w:tcPr>
            <w:tcW w:w="238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7.80</w:t>
            </w: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8</w:t>
            </w:r>
          </w:p>
        </w:tc>
        <w:tc>
          <w:tcPr>
            <w:tcW w:w="3798"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三、公务接待费</w:t>
            </w:r>
          </w:p>
        </w:tc>
        <w:tc>
          <w:tcPr>
            <w:tcW w:w="2382"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5.91</w:t>
            </w:r>
          </w:p>
        </w:tc>
        <w:tc>
          <w:tcPr>
            <w:tcW w:w="2381" w:type="dxa"/>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5.91</w:t>
            </w:r>
          </w:p>
        </w:tc>
        <w:tc>
          <w:tcPr>
            <w:tcW w:w="2381" w:type="dxa"/>
            <w:vAlign w:val="center"/>
          </w:tcPr>
          <w:p>
            <w:pPr>
              <w:pStyle w:val="11"/>
              <w:rPr>
                <w:rFonts w:hint="eastAsia" w:asciiTheme="minorEastAsia" w:hAnsiTheme="minorEastAsia" w:eastAsiaTheme="minorEastAsia" w:cstheme="minorEastAsia"/>
                <w:b w:val="0"/>
                <w:bCs w:val="0"/>
              </w:rPr>
            </w:pPr>
          </w:p>
        </w:tc>
        <w:tc>
          <w:tcPr>
            <w:tcW w:w="2381" w:type="dxa"/>
            <w:vAlign w:val="center"/>
          </w:tcPr>
          <w:p>
            <w:pPr>
              <w:pStyle w:val="11"/>
              <w:rPr>
                <w:rFonts w:hint="eastAsia" w:asciiTheme="minorEastAsia" w:hAnsiTheme="minorEastAsia" w:eastAsiaTheme="minorEastAsia" w:cstheme="minorEastAsia"/>
                <w:b w:val="0"/>
                <w:bCs w:val="0"/>
              </w:rPr>
            </w:pPr>
          </w:p>
        </w:tc>
      </w:tr>
    </w:tbl>
    <w:p>
      <w:pPr>
        <w:rPr>
          <w:rFonts w:hint="eastAsia" w:asciiTheme="minorEastAsia" w:hAnsiTheme="minorEastAsia" w:eastAsiaTheme="minorEastAsia" w:cstheme="minorEastAsia"/>
          <w:b w:val="0"/>
          <w:bCs w:val="0"/>
        </w:rPr>
        <w:sectPr>
          <w:pgSz w:w="16840" w:h="11900" w:orient="landscape"/>
          <w:pgMar w:top="1361" w:right="1020" w:bottom="1361" w:left="1020" w:header="720" w:footer="720" w:gutter="0"/>
          <w:cols w:space="720" w:num="1"/>
        </w:sectPr>
      </w:pPr>
    </w:p>
    <w:p>
      <w:pPr>
        <w:jc w:val="center"/>
        <w:outlineLvl w:val="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44"/>
        </w:rPr>
        <w:t>承德市工业和信息化局本级2022年单位预算信息公开情况说明</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按照《中华人民共和国预算法》、《地方预决算公开操作规程》和《关于进一步推进预算公开工作的实施意见》规定，现将承德市工业和信息化局本级2022年单位预算公开如下：</w:t>
      </w:r>
    </w:p>
    <w:p>
      <w:pPr>
        <w:spacing w:before="10" w:after="10"/>
        <w:ind w:firstLine="640"/>
        <w:outlineLvl w:val="5"/>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一、单位职责及机构设置情况</w:t>
      </w:r>
    </w:p>
    <w:p>
      <w:pPr>
        <w:ind w:firstLine="64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单位职责：</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贯彻落实党中央、省委、市委关于工业和信息化工作的方针政策和决策部署，坚持和加强党对工业和信息化工作的集中统一领导。主要职责是：</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一、提出全市新型工业化发展战略和政策，协调解决新型工业化进程中的重大问题，拟订并组织实施全市工业的发展规划，推进产业结构战略性调整和优化升级，推进信息化和工业化融合。</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三、监测分析全市工业运行态势，统计并发布相关信息，进行预测预警和信息引导；协调解决行业运行发展中的有关问题并提出政策建议；负责工业用电监测；负责工业应急管理、产业安全有关工作。</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五、负责对中小企业和民营经济促进工作进行指导、综合协调和监督检查，会同有关部门拟订促进中小企业发展和民营经济发展的相关政策和措施并组织实施，协调解决有关重大问题。</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八、拟订并组织实施全市工业能源节约和资源综合利用促进政策，参与拟订能源节约和资源综合利用促进规划，组织协调相关重大示范工程和新产品、新技术、新设备、新材料的推广应用。</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九、推进全市工业体制改革和管理创新，提高行业综合素质和核心竞争力，指导工业行业加强安全生产管理，负责民爆行业生产流通的监督管理和安全生产工作。</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十、开展工业、中小企业的对外合作与交流。</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十一、承担履行《禁止化学武器公约》的组织协调工作。</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十二、承担盐业行业管理工作。</w:t>
      </w:r>
    </w:p>
    <w:p>
      <w:pPr>
        <w:pStyle w:val="2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十三、完成市委、市政府交办的其他任务。</w:t>
      </w:r>
    </w:p>
    <w:p>
      <w:pPr>
        <w:pStyle w:val="23"/>
        <w:rPr>
          <w:rFonts w:hint="eastAsia" w:asciiTheme="minorEastAsia" w:hAnsiTheme="minorEastAsia" w:eastAsiaTheme="minorEastAsia" w:cstheme="minorEastAsia"/>
          <w:b w:val="0"/>
          <w:bCs w:val="0"/>
        </w:rPr>
      </w:pPr>
    </w:p>
    <w:p>
      <w:pPr>
        <w:pStyle w:val="23"/>
        <w:rPr>
          <w:rFonts w:hint="eastAsia" w:asciiTheme="minorEastAsia" w:hAnsiTheme="minorEastAsia" w:eastAsiaTheme="minorEastAsia" w:cstheme="minorEastAsia"/>
          <w:b w:val="0"/>
          <w:bCs w:val="0"/>
        </w:rPr>
      </w:pPr>
    </w:p>
    <w:p>
      <w:pPr>
        <w:pStyle w:val="23"/>
        <w:rPr>
          <w:rFonts w:hint="eastAsia" w:asciiTheme="minorEastAsia" w:hAnsiTheme="minorEastAsia" w:eastAsiaTheme="minorEastAsia" w:cstheme="minorEastAsia"/>
          <w:b w:val="0"/>
          <w:bCs w:val="0"/>
        </w:rPr>
      </w:pPr>
    </w:p>
    <w:p>
      <w:pPr>
        <w:pStyle w:val="23"/>
        <w:rPr>
          <w:rFonts w:hint="eastAsia" w:asciiTheme="minorEastAsia" w:hAnsiTheme="minorEastAsia" w:eastAsiaTheme="minorEastAsia" w:cstheme="minorEastAsia"/>
          <w:b w:val="0"/>
          <w:bCs w:val="0"/>
        </w:rPr>
      </w:pPr>
    </w:p>
    <w:p>
      <w:pPr>
        <w:pStyle w:val="15"/>
        <w:rPr>
          <w:rFonts w:hint="eastAsia" w:asciiTheme="minorEastAsia" w:hAnsiTheme="minorEastAsia" w:eastAsiaTheme="minorEastAsia" w:cstheme="minorEastAsia"/>
          <w:b w:val="0"/>
          <w:bCs w:val="0"/>
          <w:sz w:val="28"/>
          <w:szCs w:val="28"/>
        </w:rPr>
      </w:pPr>
    </w:p>
    <w:p>
      <w:pPr>
        <w:ind w:firstLine="64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机构设置：</w:t>
      </w:r>
    </w:p>
    <w:p>
      <w:pPr>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单位名称</w:t>
            </w:r>
          </w:p>
        </w:tc>
        <w:tc>
          <w:tcPr>
            <w:tcW w:w="1843"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单位性质</w:t>
            </w:r>
          </w:p>
        </w:tc>
        <w:tc>
          <w:tcPr>
            <w:tcW w:w="2126"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单位规格</w:t>
            </w:r>
          </w:p>
        </w:tc>
        <w:tc>
          <w:tcPr>
            <w:tcW w:w="3827"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承德市工业和信息化局本级</w:t>
            </w:r>
          </w:p>
        </w:tc>
        <w:tc>
          <w:tcPr>
            <w:tcW w:w="1843"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行政</w:t>
            </w:r>
          </w:p>
        </w:tc>
        <w:tc>
          <w:tcPr>
            <w:tcW w:w="2126"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正处（县）级</w:t>
            </w:r>
          </w:p>
        </w:tc>
        <w:tc>
          <w:tcPr>
            <w:tcW w:w="3827" w:type="dxa"/>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财政拨款</w:t>
            </w:r>
          </w:p>
        </w:tc>
      </w:tr>
    </w:tbl>
    <w:p>
      <w:pPr>
        <w:keepNext w:val="0"/>
        <w:keepLines w:val="0"/>
        <w:pageBreakBefore w:val="0"/>
        <w:widowControl w:val="0"/>
        <w:numPr>
          <w:ilvl w:val="0"/>
          <w:numId w:val="1"/>
        </w:numPr>
        <w:kinsoku/>
        <w:wordWrap/>
        <w:overflowPunct/>
        <w:topLinePunct w:val="0"/>
        <w:bidi w:val="0"/>
        <w:snapToGrid/>
        <w:spacing w:before="10" w:after="10" w:line="500" w:lineRule="exact"/>
        <w:ind w:firstLine="640"/>
        <w:textAlignment w:val="auto"/>
        <w:outlineLvl w:val="5"/>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单位预算安排的总体情况</w:t>
      </w:r>
    </w:p>
    <w:p>
      <w:pPr>
        <w:keepNext w:val="0"/>
        <w:keepLines w:val="0"/>
        <w:pageBreakBefore w:val="0"/>
        <w:widowControl w:val="0"/>
        <w:kinsoku/>
        <w:wordWrap/>
        <w:overflowPunct/>
        <w:topLinePunct w:val="0"/>
        <w:bidi w:val="0"/>
        <w:snapToGrid/>
        <w:spacing w:line="500" w:lineRule="exact"/>
        <w:ind w:firstLine="64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按照预算管理有关规定，目前我</w:t>
      </w:r>
      <w:r>
        <w:rPr>
          <w:rFonts w:hint="eastAsia" w:asciiTheme="minorEastAsia" w:hAnsiTheme="minorEastAsia" w:eastAsiaTheme="minorEastAsia" w:cstheme="minorEastAsia"/>
          <w:b w:val="0"/>
          <w:bCs w:val="0"/>
          <w:color w:val="auto"/>
          <w:sz w:val="28"/>
          <w:szCs w:val="28"/>
          <w:lang w:val="en-US" w:eastAsia="zh-CN"/>
        </w:rPr>
        <w:t>市</w:t>
      </w:r>
      <w:r>
        <w:rPr>
          <w:rFonts w:hint="eastAsia" w:asciiTheme="minorEastAsia" w:hAnsiTheme="minorEastAsia" w:cstheme="minorEastAsia"/>
          <w:b w:val="0"/>
          <w:bCs w:val="0"/>
          <w:color w:val="auto"/>
          <w:sz w:val="28"/>
          <w:szCs w:val="28"/>
          <w:lang w:eastAsia="zh-CN"/>
        </w:rPr>
        <w:t>单位</w:t>
      </w:r>
      <w:r>
        <w:rPr>
          <w:rFonts w:hint="eastAsia" w:asciiTheme="minorEastAsia" w:hAnsiTheme="minorEastAsia" w:eastAsiaTheme="minorEastAsia" w:cstheme="minorEastAsia"/>
          <w:b w:val="0"/>
          <w:bCs w:val="0"/>
          <w:color w:val="auto"/>
          <w:sz w:val="28"/>
          <w:szCs w:val="28"/>
        </w:rPr>
        <w:t>预算的编制实行综合预算制度，即全部收入和支出都反映</w:t>
      </w:r>
      <w:r>
        <w:rPr>
          <w:rFonts w:hint="eastAsia" w:asciiTheme="minorEastAsia" w:hAnsiTheme="minorEastAsia" w:eastAsiaTheme="minorEastAsia" w:cstheme="minorEastAsia"/>
          <w:b w:val="0"/>
          <w:bCs w:val="0"/>
          <w:color w:val="auto"/>
          <w:sz w:val="28"/>
          <w:szCs w:val="28"/>
          <w:lang w:eastAsia="zh-CN"/>
        </w:rPr>
        <w:t>在</w:t>
      </w:r>
      <w:r>
        <w:rPr>
          <w:rFonts w:hint="eastAsia" w:asciiTheme="minorEastAsia" w:hAnsiTheme="minorEastAsia" w:eastAsiaTheme="minorEastAsia" w:cstheme="minorEastAsia"/>
          <w:b w:val="0"/>
          <w:bCs w:val="0"/>
          <w:color w:val="auto"/>
          <w:sz w:val="28"/>
          <w:szCs w:val="28"/>
        </w:rPr>
        <w:t>预算中。</w:t>
      </w:r>
    </w:p>
    <w:p>
      <w:pPr>
        <w:keepNext w:val="0"/>
        <w:keepLines w:val="0"/>
        <w:pageBreakBefore w:val="0"/>
        <w:widowControl w:val="0"/>
        <w:kinsoku/>
        <w:wordWrap/>
        <w:overflowPunct/>
        <w:topLinePunct w:val="0"/>
        <w:bidi w:val="0"/>
        <w:snapToGrid/>
        <w:spacing w:line="500" w:lineRule="exact"/>
        <w:ind w:firstLine="64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以下收入支出为本</w:t>
      </w:r>
      <w:r>
        <w:rPr>
          <w:rFonts w:hint="eastAsia" w:asciiTheme="minorEastAsia" w:hAnsiTheme="minorEastAsia" w:eastAsiaTheme="minorEastAsia" w:cstheme="minorEastAsia"/>
          <w:b w:val="0"/>
          <w:bCs w:val="0"/>
          <w:color w:val="auto"/>
          <w:sz w:val="28"/>
          <w:szCs w:val="28"/>
          <w:u w:val="none"/>
          <w:lang w:eastAsia="zh-CN"/>
        </w:rPr>
        <w:t>单位</w:t>
      </w:r>
      <w:r>
        <w:rPr>
          <w:rFonts w:hint="eastAsia" w:asciiTheme="minorEastAsia" w:hAnsiTheme="minorEastAsia" w:eastAsiaTheme="minorEastAsia" w:cstheme="minorEastAsia"/>
          <w:b w:val="0"/>
          <w:bCs w:val="0"/>
          <w:color w:val="auto"/>
          <w:sz w:val="28"/>
          <w:szCs w:val="28"/>
          <w:lang w:eastAsia="zh-CN"/>
        </w:rPr>
        <w:t>收入支出的汇总</w:t>
      </w:r>
      <w:r>
        <w:rPr>
          <w:rFonts w:hint="eastAsia" w:asciiTheme="minorEastAsia" w:hAnsiTheme="minorEastAsia" w:eastAsiaTheme="minorEastAsia" w:cstheme="minorEastAsia"/>
          <w:b w:val="0"/>
          <w:bCs w:val="0"/>
          <w:color w:val="auto"/>
          <w:sz w:val="28"/>
          <w:szCs w:val="28"/>
          <w:lang w:val="en-US" w:eastAsia="zh-CN"/>
        </w:rPr>
        <w:t>,预算单位包括承德市工业和信息化局，下属事业单位不是预算单位，无独立财务管理。</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收入说明</w:t>
      </w:r>
      <w:r>
        <w:rPr>
          <w:rFonts w:hint="eastAsia" w:asciiTheme="minorEastAsia" w:hAnsiTheme="minorEastAsia" w:eastAsiaTheme="minorEastAsia" w:cstheme="minorEastAsia"/>
          <w:b w:val="0"/>
          <w:bCs w:val="0"/>
          <w:color w:val="auto"/>
          <w:sz w:val="28"/>
          <w:szCs w:val="28"/>
          <w:lang w:val="en-US" w:eastAsia="zh-CN"/>
        </w:rPr>
        <w:t xml:space="preserve">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反映本单位当年全部收入，2022年</w:t>
      </w:r>
      <w:r>
        <w:rPr>
          <w:rFonts w:hint="eastAsia" w:asciiTheme="minorEastAsia" w:hAnsiTheme="minorEastAsia" w:eastAsiaTheme="minorEastAsia" w:cstheme="minorEastAsia"/>
          <w:b w:val="0"/>
          <w:bCs w:val="0"/>
          <w:color w:val="auto"/>
          <w:sz w:val="28"/>
          <w:szCs w:val="28"/>
          <w:lang w:eastAsia="zh-CN"/>
        </w:rPr>
        <w:t>预算收入</w:t>
      </w:r>
      <w:r>
        <w:rPr>
          <w:rFonts w:hint="eastAsia" w:asciiTheme="minorEastAsia" w:hAnsiTheme="minorEastAsia" w:eastAsiaTheme="minorEastAsia" w:cstheme="minorEastAsia"/>
          <w:b w:val="0"/>
          <w:bCs w:val="0"/>
          <w:color w:val="auto"/>
          <w:sz w:val="28"/>
          <w:szCs w:val="28"/>
          <w:lang w:val="en-US" w:eastAsia="zh-CN"/>
        </w:rPr>
        <w:t>3152.95</w:t>
      </w:r>
      <w:r>
        <w:rPr>
          <w:rFonts w:hint="eastAsia" w:asciiTheme="minorEastAsia" w:hAnsiTheme="minorEastAsia" w:eastAsiaTheme="minorEastAsia" w:cstheme="minorEastAsia"/>
          <w:b w:val="0"/>
          <w:bCs w:val="0"/>
          <w:color w:val="auto"/>
          <w:sz w:val="28"/>
          <w:szCs w:val="28"/>
        </w:rPr>
        <w:t>万元，其中：</w:t>
      </w:r>
      <w:r>
        <w:rPr>
          <w:rFonts w:hint="eastAsia" w:asciiTheme="minorEastAsia" w:hAnsiTheme="minorEastAsia" w:eastAsiaTheme="minorEastAsia" w:cstheme="minorEastAsia"/>
          <w:b w:val="0"/>
          <w:bCs w:val="0"/>
          <w:color w:val="auto"/>
          <w:sz w:val="28"/>
          <w:szCs w:val="28"/>
          <w:lang w:eastAsia="zh-CN"/>
        </w:rPr>
        <w:t>一般公共预算收入</w:t>
      </w:r>
      <w:r>
        <w:rPr>
          <w:rFonts w:hint="eastAsia" w:asciiTheme="minorEastAsia" w:hAnsiTheme="minorEastAsia" w:eastAsiaTheme="minorEastAsia" w:cstheme="minorEastAsia"/>
          <w:b w:val="0"/>
          <w:bCs w:val="0"/>
          <w:color w:val="auto"/>
          <w:sz w:val="28"/>
          <w:szCs w:val="28"/>
          <w:lang w:val="en-US" w:eastAsia="zh-CN"/>
        </w:rPr>
        <w:t>3152.95</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lang w:eastAsia="zh-CN"/>
        </w:rPr>
        <w:t>、政府性基金预算收入</w:t>
      </w:r>
      <w:r>
        <w:rPr>
          <w:rFonts w:hint="eastAsia" w:asciiTheme="minorEastAsia" w:hAnsiTheme="minorEastAsia" w:eastAsiaTheme="minorEastAsia" w:cstheme="minorEastAsia"/>
          <w:b w:val="0"/>
          <w:bCs w:val="0"/>
          <w:color w:val="auto"/>
          <w:sz w:val="28"/>
          <w:szCs w:val="28"/>
          <w:lang w:val="en-US" w:eastAsia="zh-CN"/>
        </w:rPr>
        <w:t>0万元、国有资本经营预算收入0万元。</w:t>
      </w:r>
    </w:p>
    <w:p>
      <w:pPr>
        <w:keepNext w:val="0"/>
        <w:keepLines w:val="0"/>
        <w:pageBreakBefore w:val="0"/>
        <w:widowControl w:val="0"/>
        <w:numPr>
          <w:ilvl w:val="0"/>
          <w:numId w:val="2"/>
        </w:numPr>
        <w:kinsoku/>
        <w:wordWrap/>
        <w:overflowPunct/>
        <w:topLinePunct w:val="0"/>
        <w:bidi w:val="0"/>
        <w:snapToGrid/>
        <w:spacing w:line="500" w:lineRule="exact"/>
        <w:ind w:firstLine="64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支出说明</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收支预算总表支出栏、基本支出表、项目支出表按经济分类和支出功能分类科目编制，反映承德市工业和信息化局年度单位预算中支出预算的总体情况。</w:t>
      </w:r>
      <w:r>
        <w:rPr>
          <w:rFonts w:hint="eastAsia" w:asciiTheme="minorEastAsia" w:hAnsiTheme="minorEastAsia" w:eastAsiaTheme="minorEastAsia" w:cstheme="minorEastAsia"/>
          <w:b w:val="0"/>
          <w:bCs w:val="0"/>
          <w:color w:val="auto"/>
          <w:sz w:val="28"/>
          <w:szCs w:val="28"/>
        </w:rPr>
        <w:t>20</w:t>
      </w:r>
      <w:r>
        <w:rPr>
          <w:rFonts w:hint="eastAsia" w:asciiTheme="minorEastAsia" w:hAnsiTheme="minorEastAsia" w:eastAsiaTheme="minorEastAsia" w:cstheme="minorEastAsia"/>
          <w:b w:val="0"/>
          <w:bCs w:val="0"/>
          <w:color w:val="auto"/>
          <w:sz w:val="28"/>
          <w:szCs w:val="28"/>
          <w:lang w:val="en-US" w:eastAsia="zh-CN"/>
        </w:rPr>
        <w:t>22</w:t>
      </w:r>
      <w:r>
        <w:rPr>
          <w:rFonts w:hint="eastAsia" w:asciiTheme="minorEastAsia" w:hAnsiTheme="minorEastAsia" w:eastAsiaTheme="minorEastAsia" w:cstheme="minorEastAsia"/>
          <w:b w:val="0"/>
          <w:bCs w:val="0"/>
          <w:color w:val="auto"/>
          <w:sz w:val="28"/>
          <w:szCs w:val="28"/>
        </w:rPr>
        <w:t>年</w:t>
      </w:r>
      <w:r>
        <w:rPr>
          <w:rFonts w:hint="eastAsia" w:asciiTheme="minorEastAsia" w:hAnsiTheme="minorEastAsia" w:eastAsiaTheme="minorEastAsia" w:cstheme="minorEastAsia"/>
          <w:b w:val="0"/>
          <w:bCs w:val="0"/>
          <w:color w:val="auto"/>
          <w:sz w:val="28"/>
          <w:szCs w:val="28"/>
          <w:lang w:eastAsia="zh-CN"/>
        </w:rPr>
        <w:t>部门支出</w:t>
      </w:r>
      <w:r>
        <w:rPr>
          <w:rFonts w:hint="eastAsia" w:asciiTheme="minorEastAsia" w:hAnsiTheme="minorEastAsia" w:eastAsiaTheme="minorEastAsia" w:cstheme="minorEastAsia"/>
          <w:b w:val="0"/>
          <w:bCs w:val="0"/>
          <w:color w:val="auto"/>
          <w:sz w:val="28"/>
          <w:szCs w:val="28"/>
        </w:rPr>
        <w:t>预算为</w:t>
      </w:r>
      <w:r>
        <w:rPr>
          <w:rFonts w:hint="eastAsia" w:asciiTheme="minorEastAsia" w:hAnsiTheme="minorEastAsia" w:eastAsiaTheme="minorEastAsia" w:cstheme="minorEastAsia"/>
          <w:b w:val="0"/>
          <w:bCs w:val="0"/>
          <w:color w:val="auto"/>
          <w:sz w:val="28"/>
          <w:szCs w:val="28"/>
          <w:lang w:val="en-US" w:eastAsia="zh-CN"/>
        </w:rPr>
        <w:t>3152.95</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lang w:eastAsia="zh-CN"/>
        </w:rPr>
        <w:t>其中基本</w:t>
      </w:r>
      <w:r>
        <w:rPr>
          <w:rFonts w:hint="eastAsia" w:asciiTheme="minorEastAsia" w:hAnsiTheme="minorEastAsia" w:eastAsiaTheme="minorEastAsia" w:cstheme="minorEastAsia"/>
          <w:b w:val="0"/>
          <w:bCs w:val="0"/>
          <w:color w:val="auto"/>
          <w:sz w:val="28"/>
          <w:szCs w:val="28"/>
        </w:rPr>
        <w:t>支出</w:t>
      </w:r>
      <w:r>
        <w:rPr>
          <w:rFonts w:hint="eastAsia" w:asciiTheme="minorEastAsia" w:hAnsiTheme="minorEastAsia" w:eastAsiaTheme="minorEastAsia" w:cstheme="minorEastAsia"/>
          <w:b w:val="0"/>
          <w:bCs w:val="0"/>
          <w:color w:val="auto"/>
          <w:sz w:val="28"/>
          <w:szCs w:val="28"/>
          <w:lang w:val="en-US" w:eastAsia="zh-CN"/>
        </w:rPr>
        <w:t>2657.95</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lang w:eastAsia="zh-CN"/>
        </w:rPr>
        <w:t>包括人员经费</w:t>
      </w:r>
      <w:r>
        <w:rPr>
          <w:rFonts w:hint="eastAsia" w:asciiTheme="minorEastAsia" w:hAnsiTheme="minorEastAsia" w:eastAsiaTheme="minorEastAsia" w:cstheme="minorEastAsia"/>
          <w:b w:val="0"/>
          <w:bCs w:val="0"/>
          <w:color w:val="auto"/>
          <w:sz w:val="28"/>
          <w:szCs w:val="28"/>
          <w:lang w:val="en-US" w:eastAsia="zh-CN"/>
        </w:rPr>
        <w:t>2460.91万元、</w:t>
      </w:r>
      <w:r>
        <w:rPr>
          <w:rFonts w:hint="eastAsia" w:asciiTheme="minorEastAsia" w:hAnsiTheme="minorEastAsia" w:eastAsiaTheme="minorEastAsia" w:cstheme="minorEastAsia"/>
          <w:b w:val="0"/>
          <w:bCs w:val="0"/>
          <w:color w:val="auto"/>
          <w:sz w:val="28"/>
          <w:szCs w:val="28"/>
          <w:lang w:eastAsia="zh-CN"/>
        </w:rPr>
        <w:t>日常</w:t>
      </w:r>
      <w:r>
        <w:rPr>
          <w:rFonts w:hint="eastAsia" w:asciiTheme="minorEastAsia" w:hAnsiTheme="minorEastAsia" w:eastAsiaTheme="minorEastAsia" w:cstheme="minorEastAsia"/>
          <w:b w:val="0"/>
          <w:bCs w:val="0"/>
          <w:color w:val="auto"/>
          <w:sz w:val="28"/>
          <w:szCs w:val="28"/>
        </w:rPr>
        <w:t>公用经费</w:t>
      </w:r>
      <w:r>
        <w:rPr>
          <w:rFonts w:hint="eastAsia" w:asciiTheme="minorEastAsia" w:hAnsiTheme="minorEastAsia" w:eastAsiaTheme="minorEastAsia" w:cstheme="minorEastAsia"/>
          <w:b w:val="0"/>
          <w:bCs w:val="0"/>
          <w:color w:val="auto"/>
          <w:sz w:val="28"/>
          <w:szCs w:val="28"/>
          <w:lang w:val="en-US" w:eastAsia="zh-CN"/>
        </w:rPr>
        <w:t>197.04万元；</w:t>
      </w:r>
      <w:r>
        <w:rPr>
          <w:rFonts w:hint="eastAsia" w:asciiTheme="minorEastAsia" w:hAnsiTheme="minorEastAsia" w:eastAsiaTheme="minorEastAsia" w:cstheme="minorEastAsia"/>
          <w:b w:val="0"/>
          <w:bCs w:val="0"/>
          <w:color w:val="auto"/>
          <w:sz w:val="28"/>
          <w:szCs w:val="28"/>
          <w:lang w:eastAsia="zh-CN"/>
        </w:rPr>
        <w:t>项目支出</w:t>
      </w:r>
      <w:r>
        <w:rPr>
          <w:rFonts w:hint="eastAsia" w:asciiTheme="minorEastAsia" w:hAnsiTheme="minorEastAsia" w:eastAsiaTheme="minorEastAsia" w:cstheme="minorEastAsia"/>
          <w:b w:val="0"/>
          <w:bCs w:val="0"/>
          <w:color w:val="auto"/>
          <w:sz w:val="28"/>
          <w:szCs w:val="28"/>
          <w:lang w:val="en-US" w:eastAsia="zh-CN"/>
        </w:rPr>
        <w:t>495.00万元，主要为</w:t>
      </w:r>
      <w:r>
        <w:rPr>
          <w:rFonts w:hint="eastAsia" w:asciiTheme="minorEastAsia" w:hAnsiTheme="minorEastAsia" w:eastAsiaTheme="minorEastAsia" w:cstheme="minorEastAsia"/>
          <w:b w:val="0"/>
          <w:bCs w:val="0"/>
          <w:color w:val="auto"/>
          <w:sz w:val="28"/>
          <w:szCs w:val="28"/>
        </w:rPr>
        <w:t>工业和信息化工作经费</w:t>
      </w:r>
      <w:r>
        <w:rPr>
          <w:rFonts w:hint="eastAsia" w:asciiTheme="minorEastAsia" w:hAnsiTheme="minorEastAsia" w:eastAsiaTheme="minorEastAsia" w:cstheme="minorEastAsia"/>
          <w:b w:val="0"/>
          <w:bCs w:val="0"/>
          <w:color w:val="auto"/>
          <w:sz w:val="28"/>
          <w:szCs w:val="28"/>
          <w:lang w:val="en-US" w:eastAsia="zh-CN"/>
        </w:rPr>
        <w:t>80.00万元、</w:t>
      </w:r>
      <w:r>
        <w:rPr>
          <w:rFonts w:hint="eastAsia" w:asciiTheme="minorEastAsia" w:hAnsiTheme="minorEastAsia" w:eastAsiaTheme="minorEastAsia" w:cstheme="minorEastAsia"/>
          <w:b w:val="0"/>
          <w:bCs w:val="0"/>
          <w:color w:val="auto"/>
          <w:sz w:val="28"/>
          <w:szCs w:val="28"/>
        </w:rPr>
        <w:t>京津冀工业固废综合利用产业对接洽谈会</w:t>
      </w:r>
      <w:r>
        <w:rPr>
          <w:rFonts w:hint="eastAsia" w:asciiTheme="minorEastAsia" w:hAnsiTheme="minorEastAsia" w:eastAsiaTheme="minorEastAsia" w:cstheme="minorEastAsia"/>
          <w:b w:val="0"/>
          <w:bCs w:val="0"/>
          <w:color w:val="auto"/>
          <w:sz w:val="28"/>
          <w:szCs w:val="28"/>
          <w:lang w:val="en-US" w:eastAsia="zh-CN"/>
        </w:rPr>
        <w:t>25.00万元、</w:t>
      </w:r>
      <w:r>
        <w:rPr>
          <w:rFonts w:hint="eastAsia" w:asciiTheme="minorEastAsia" w:hAnsiTheme="minorEastAsia" w:eastAsiaTheme="minorEastAsia" w:cstheme="minorEastAsia"/>
          <w:b w:val="0"/>
          <w:bCs w:val="0"/>
          <w:color w:val="auto"/>
          <w:sz w:val="28"/>
          <w:szCs w:val="28"/>
        </w:rPr>
        <w:t>工业高质量发展“十四五”规划编制、新型建材产业“十四五”规划编制、智能装备制造产业“十四五”规划编制经费</w:t>
      </w:r>
      <w:r>
        <w:rPr>
          <w:rFonts w:hint="eastAsia" w:asciiTheme="minorEastAsia" w:hAnsiTheme="minorEastAsia" w:eastAsiaTheme="minorEastAsia" w:cstheme="minorEastAsia"/>
          <w:b w:val="0"/>
          <w:bCs w:val="0"/>
          <w:color w:val="auto"/>
          <w:sz w:val="28"/>
          <w:szCs w:val="28"/>
          <w:lang w:val="en-US" w:eastAsia="zh-CN"/>
        </w:rPr>
        <w:t>50.00万元、</w:t>
      </w:r>
      <w:r>
        <w:rPr>
          <w:rFonts w:hint="eastAsia" w:asciiTheme="minorEastAsia" w:hAnsiTheme="minorEastAsia" w:eastAsiaTheme="minorEastAsia" w:cstheme="minorEastAsia"/>
          <w:b w:val="0"/>
          <w:bCs w:val="0"/>
          <w:color w:val="auto"/>
          <w:sz w:val="28"/>
          <w:szCs w:val="28"/>
        </w:rPr>
        <w:t>工业和信息化产业发展资金</w:t>
      </w:r>
      <w:r>
        <w:rPr>
          <w:rFonts w:hint="eastAsia" w:asciiTheme="minorEastAsia" w:hAnsiTheme="minorEastAsia" w:eastAsiaTheme="minorEastAsia" w:cstheme="minorEastAsia"/>
          <w:b w:val="0"/>
          <w:bCs w:val="0"/>
          <w:color w:val="auto"/>
          <w:sz w:val="28"/>
          <w:szCs w:val="28"/>
          <w:lang w:val="en-US" w:eastAsia="zh-CN"/>
        </w:rPr>
        <w:t>200.00万元、</w:t>
      </w:r>
      <w:r>
        <w:rPr>
          <w:rFonts w:hint="eastAsia" w:asciiTheme="minorEastAsia" w:hAnsiTheme="minorEastAsia" w:eastAsiaTheme="minorEastAsia" w:cstheme="minorEastAsia"/>
          <w:b w:val="0"/>
          <w:bCs w:val="0"/>
          <w:color w:val="auto"/>
          <w:sz w:val="28"/>
          <w:szCs w:val="28"/>
        </w:rPr>
        <w:t>中国数字经济博览会承德会展</w:t>
      </w:r>
      <w:r>
        <w:rPr>
          <w:rFonts w:hint="eastAsia" w:asciiTheme="minorEastAsia" w:hAnsiTheme="minorEastAsia" w:eastAsiaTheme="minorEastAsia" w:cstheme="minorEastAsia"/>
          <w:b w:val="0"/>
          <w:bCs w:val="0"/>
          <w:color w:val="auto"/>
          <w:sz w:val="28"/>
          <w:szCs w:val="28"/>
          <w:lang w:val="en-US" w:eastAsia="zh-CN"/>
        </w:rPr>
        <w:t>100万元、</w:t>
      </w:r>
      <w:r>
        <w:rPr>
          <w:rFonts w:hint="eastAsia" w:asciiTheme="minorEastAsia" w:hAnsiTheme="minorEastAsia" w:eastAsiaTheme="minorEastAsia" w:cstheme="minorEastAsia"/>
          <w:b w:val="0"/>
          <w:bCs w:val="0"/>
          <w:color w:val="auto"/>
          <w:sz w:val="28"/>
          <w:szCs w:val="28"/>
        </w:rPr>
        <w:t>组建国家钒钛产业联盟会费</w:t>
      </w:r>
      <w:r>
        <w:rPr>
          <w:rFonts w:hint="eastAsia" w:asciiTheme="minorEastAsia" w:hAnsiTheme="minorEastAsia" w:eastAsiaTheme="minorEastAsia" w:cstheme="minorEastAsia"/>
          <w:b w:val="0"/>
          <w:bCs w:val="0"/>
          <w:color w:val="auto"/>
          <w:sz w:val="28"/>
          <w:szCs w:val="28"/>
          <w:lang w:val="en-US" w:eastAsia="zh-CN"/>
        </w:rPr>
        <w:t>40.00万元。</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numPr>
          <w:ilvl w:val="0"/>
          <w:numId w:val="2"/>
        </w:numPr>
        <w:kinsoku/>
        <w:wordWrap/>
        <w:overflowPunct/>
        <w:topLinePunct w:val="0"/>
        <w:bidi w:val="0"/>
        <w:snapToGrid/>
        <w:spacing w:line="500" w:lineRule="exact"/>
        <w:ind w:firstLine="64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比上年增减情况</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2022年预算收支安排3152.95万元。较2021年预算增加486.49万元，同比增长18.24%。其中：基本支出增加71.49万元，同比增加2.76%，主要原因为在职人员增加；项目支出增加415万元，同比增加518.75%，主要原因为项目预算增加。</w:t>
      </w:r>
    </w:p>
    <w:p>
      <w:pPr>
        <w:keepNext w:val="0"/>
        <w:keepLines w:val="0"/>
        <w:pageBreakBefore w:val="0"/>
        <w:widowControl w:val="0"/>
        <w:kinsoku/>
        <w:wordWrap/>
        <w:overflowPunct/>
        <w:topLinePunct w:val="0"/>
        <w:bidi w:val="0"/>
        <w:snapToGrid/>
        <w:spacing w:before="10" w:after="10" w:line="500" w:lineRule="exact"/>
        <w:ind w:firstLine="640"/>
        <w:textAlignment w:val="auto"/>
        <w:outlineLvl w:val="5"/>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00" w:lineRule="exact"/>
        <w:ind w:left="198" w:firstLine="560" w:firstLineChars="200"/>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机关运行经费共计安排</w:t>
      </w:r>
      <w:r>
        <w:rPr>
          <w:rFonts w:hint="eastAsia" w:asciiTheme="minorEastAsia" w:hAnsiTheme="minorEastAsia" w:eastAsiaTheme="minorEastAsia" w:cstheme="minorEastAsia"/>
          <w:b w:val="0"/>
          <w:bCs w:val="0"/>
          <w:color w:val="auto"/>
          <w:sz w:val="28"/>
          <w:szCs w:val="28"/>
          <w:lang w:val="en-US" w:eastAsia="zh-CN"/>
        </w:rPr>
        <w:t>197.04</w:t>
      </w:r>
      <w:r>
        <w:rPr>
          <w:rFonts w:hint="eastAsia" w:asciiTheme="minorEastAsia" w:hAnsiTheme="minorEastAsia" w:eastAsiaTheme="minorEastAsia" w:cstheme="minorEastAsia"/>
          <w:b w:val="0"/>
          <w:bCs w:val="0"/>
          <w:color w:val="auto"/>
          <w:sz w:val="28"/>
          <w:szCs w:val="28"/>
        </w:rPr>
        <w:t>万元，主要用于</w:t>
      </w:r>
      <w:r>
        <w:rPr>
          <w:rFonts w:hint="eastAsia" w:asciiTheme="minorEastAsia" w:hAnsiTheme="minorEastAsia" w:eastAsiaTheme="minorEastAsia" w:cstheme="minorEastAsia"/>
          <w:b w:val="0"/>
          <w:bCs w:val="0"/>
          <w:color w:val="auto"/>
          <w:sz w:val="28"/>
          <w:szCs w:val="28"/>
          <w:lang w:eastAsia="zh-CN"/>
        </w:rPr>
        <w:t>保证机关正常运转的办公及印刷费、邮电费、差旅费、会议费、福利费、专用材料及一般设备购置费、办公用房水电费、办公用房取暖费、日常维修费、办公楼物业管理费、公务车运行维护费等支出</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eastAsia="zh-CN"/>
        </w:rPr>
        <w:t>其中：办公费</w:t>
      </w:r>
      <w:r>
        <w:rPr>
          <w:rFonts w:hint="eastAsia" w:asciiTheme="minorEastAsia" w:hAnsiTheme="minorEastAsia" w:eastAsiaTheme="minorEastAsia" w:cstheme="minorEastAsia"/>
          <w:b w:val="0"/>
          <w:bCs w:val="0"/>
          <w:color w:val="auto"/>
          <w:sz w:val="28"/>
          <w:szCs w:val="28"/>
          <w:lang w:val="en-US" w:eastAsia="zh-CN"/>
        </w:rPr>
        <w:t>21.43万元、邮电费36.00万元、因公出国费10.00万元、公务接待费0.91万元（不含项目经费中5.00万元公务接待费）、福利费9.42万元、工会经费8.04万元、</w:t>
      </w:r>
      <w:r>
        <w:rPr>
          <w:rFonts w:hint="eastAsia" w:asciiTheme="minorEastAsia" w:hAnsiTheme="minorEastAsia" w:eastAsiaTheme="minorEastAsia" w:cstheme="minorEastAsia"/>
          <w:b w:val="0"/>
          <w:bCs w:val="0"/>
          <w:color w:val="auto"/>
          <w:sz w:val="28"/>
          <w:szCs w:val="28"/>
          <w:lang w:eastAsia="zh-CN"/>
        </w:rPr>
        <w:t>公务用车运行费</w:t>
      </w:r>
      <w:r>
        <w:rPr>
          <w:rFonts w:hint="eastAsia" w:asciiTheme="minorEastAsia" w:hAnsiTheme="minorEastAsia" w:eastAsiaTheme="minorEastAsia" w:cstheme="minorEastAsia"/>
          <w:b w:val="0"/>
          <w:bCs w:val="0"/>
          <w:color w:val="auto"/>
          <w:sz w:val="28"/>
          <w:szCs w:val="28"/>
          <w:lang w:val="en-US" w:eastAsia="zh-CN"/>
        </w:rPr>
        <w:t>2.8万元（不含项目经费中5.00万元公车运行费）、公务交通补贴53.09万元、党组织活动经费1.69万元、离退休人员公用经费20.69万元、离退休人员福利费32.97万元。</w:t>
      </w:r>
      <w:r>
        <w:rPr>
          <w:rFonts w:hint="eastAsia" w:asciiTheme="minorEastAsia" w:hAnsiTheme="minorEastAsia" w:eastAsiaTheme="minorEastAsia" w:cstheme="minorEastAsia"/>
          <w:b w:val="0"/>
          <w:bCs w:val="0"/>
          <w:color w:val="auto"/>
          <w:sz w:val="28"/>
          <w:szCs w:val="28"/>
          <w:lang w:eastAsia="zh-CN"/>
        </w:rPr>
        <w:t>较上年公开数据减少</w:t>
      </w:r>
      <w:r>
        <w:rPr>
          <w:rFonts w:hint="eastAsia" w:asciiTheme="minorEastAsia" w:hAnsiTheme="minorEastAsia" w:eastAsiaTheme="minorEastAsia" w:cstheme="minorEastAsia"/>
          <w:b w:val="0"/>
          <w:bCs w:val="0"/>
          <w:color w:val="auto"/>
          <w:sz w:val="28"/>
          <w:szCs w:val="28"/>
          <w:lang w:val="en-US" w:eastAsia="zh-CN"/>
        </w:rPr>
        <w:t>4.88万元，同比降低2.41%。减少原因为人员减少经费降低。</w:t>
      </w:r>
    </w:p>
    <w:p>
      <w:pPr>
        <w:keepNext w:val="0"/>
        <w:keepLines w:val="0"/>
        <w:pageBreakBefore w:val="0"/>
        <w:widowControl w:val="0"/>
        <w:kinsoku/>
        <w:wordWrap/>
        <w:overflowPunct/>
        <w:topLinePunct w:val="0"/>
        <w:bidi w:val="0"/>
        <w:snapToGrid/>
        <w:spacing w:before="10" w:after="10" w:line="500" w:lineRule="exact"/>
        <w:ind w:firstLine="640"/>
        <w:textAlignment w:val="auto"/>
        <w:outlineLvl w:val="5"/>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年，我单位财政拨款“三公”经费预算安排23.71万元，其中：因公出国（境）费10.00万元；公务用车购置及运维费7.80万元（其中：公务用车运行费7.80万元)；公务接待费5.91万元。“三公”经费比上年预算减少1.73万元，同比降低6.80%。减少的主要原因是公车数量减少，运行费用减少。节约开支，减少公务接待。其中：因公出国（境）费与上年预算持平；公务用车购置及运维费比上年预算减少1.40万元，同比降低15.21%，减少的主要原因是公车数量减少，运行费用减少。公务接待费比上年预算减少0.33万元，同比降低5.28%，减少的主要原因是节约开支，减少公务接待。</w:t>
      </w:r>
    </w:p>
    <w:p>
      <w:pPr>
        <w:keepNext w:val="0"/>
        <w:keepLines w:val="0"/>
        <w:pageBreakBefore w:val="0"/>
        <w:widowControl w:val="0"/>
        <w:kinsoku/>
        <w:wordWrap/>
        <w:overflowPunct/>
        <w:topLinePunct w:val="0"/>
        <w:bidi w:val="0"/>
        <w:snapToGrid/>
        <w:spacing w:before="10" w:after="10" w:line="500" w:lineRule="exact"/>
        <w:ind w:firstLine="640"/>
        <w:textAlignment w:val="auto"/>
        <w:outlineLvl w:val="2"/>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bidi w:val="0"/>
        <w:snapToGrid/>
        <w:spacing w:before="10" w:after="10" w:line="500" w:lineRule="exact"/>
        <w:ind w:firstLine="640"/>
        <w:textAlignment w:val="auto"/>
        <w:outlineLvl w:val="5"/>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五、预算绩效信息</w:t>
      </w:r>
    </w:p>
    <w:p>
      <w:pPr>
        <w:pStyle w:val="18"/>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1、工业和信息化工作经费绩效目标表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2756" w:type="dxa"/>
            <w:tcBorders>
              <w:bottom w:val="single" w:color="FFFFFF" w:sz="6" w:space="0"/>
            </w:tcBorders>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1.拟定并组织实施全市工业的发展规划，推进产业结构战略性调整和优化升级，推进信息化和工业化融合。建立健全民营经济统计和监控分析系统，促进中小企业、民营经济健康发展</w:t>
            </w:r>
          </w:p>
        </w:tc>
      </w:tr>
    </w:tbl>
    <w:p>
      <w:pPr>
        <w:pStyle w:val="18"/>
        <w:spacing w:line="2" w:lineRule="exact"/>
        <w:jc w:val="center"/>
        <w:rPr>
          <w:rFonts w:hint="eastAsia" w:asciiTheme="minorEastAsia" w:hAnsiTheme="minorEastAsia" w:eastAsiaTheme="minorEastAsia" w:cstheme="minorEastAsia"/>
          <w:b w:val="0"/>
          <w:bCs w:val="0"/>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2551"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新增规上工业企业数量</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新增规上工业企业数量</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检查督导完成率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检查督导完成率</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各项工作完成及时率 </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各项工作完成及时率 </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成本控制率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专项工作经费控制数</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对经济发展的促进作用</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对经济发展的促进作用</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对经济发展的促进作用</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保障业务正常运行</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保障业务正常运行</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保障业务正常运行</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保障业务正常运行</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保障业务正常运行</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保障业务正常运行</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企业满意度</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2022年工作目标</w:t>
            </w:r>
          </w:p>
        </w:tc>
      </w:tr>
    </w:tbl>
    <w:p>
      <w:pPr>
        <w:pStyle w:val="18"/>
        <w:rPr>
          <w:rFonts w:hint="eastAsia" w:asciiTheme="minorEastAsia" w:hAnsiTheme="minorEastAsia" w:eastAsiaTheme="minorEastAsia" w:cstheme="minorEastAsia"/>
          <w:b w:val="0"/>
          <w:bCs w:val="0"/>
        </w:rPr>
      </w:pPr>
    </w:p>
    <w:p>
      <w:pPr>
        <w:pStyle w:val="18"/>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2、京津冀工业固废综合利用产业对接洽谈会绩效目标表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2756" w:type="dxa"/>
            <w:tcBorders>
              <w:bottom w:val="single" w:color="FFFFFF" w:sz="6" w:space="0"/>
            </w:tcBorders>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1.目标内容1</w:t>
            </w:r>
          </w:p>
        </w:tc>
      </w:tr>
    </w:tbl>
    <w:p>
      <w:pPr>
        <w:pStyle w:val="18"/>
        <w:spacing w:line="2" w:lineRule="exact"/>
        <w:jc w:val="center"/>
        <w:rPr>
          <w:rFonts w:hint="eastAsia" w:asciiTheme="minorEastAsia" w:hAnsiTheme="minorEastAsia" w:eastAsiaTheme="minorEastAsia" w:cstheme="minorEastAsia"/>
          <w:b w:val="0"/>
          <w:bCs w:val="0"/>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2551"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参加会议人数</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参加会议人数</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完成会议要求</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工作完成时间</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工作完成时间</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10月15日前</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参加会议人员人均成本</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参加会议人员人均成本</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签约金额</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签约金额</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≥3.66</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展示成果</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展示承德市工业固废资源综合利用成果</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展示承德市工业固废资源综合利用成果</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生态环境质量改善</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生态环境质量改善</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生态环境质量改善</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创造性转化，创新性发展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创造性转化，创新性发展</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创造性转化，创新性发展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参会人员满意度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参会人员满意度</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参会人员满意度</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会议方案</w:t>
            </w:r>
          </w:p>
        </w:tc>
      </w:tr>
    </w:tbl>
    <w:p>
      <w:pPr>
        <w:pStyle w:val="18"/>
        <w:rPr>
          <w:rFonts w:hint="eastAsia" w:asciiTheme="minorEastAsia" w:hAnsiTheme="minorEastAsia" w:eastAsiaTheme="minorEastAsia" w:cstheme="minorEastAsia"/>
          <w:b w:val="0"/>
          <w:bCs w:val="0"/>
        </w:rPr>
      </w:pPr>
    </w:p>
    <w:p>
      <w:pPr>
        <w:pStyle w:val="18"/>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3、工业高质量发展“十四五”规划编制、新型建材产业“十四五”规划编制、智能装备制造产业“十四五”规划编制经费绩效目标表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2756" w:type="dxa"/>
            <w:tcBorders>
              <w:bottom w:val="single" w:color="FFFFFF" w:sz="6" w:space="0"/>
            </w:tcBorders>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1.按照合同规定时限完成《承德市工业高质量发展“十四五”规划、新型建材产业“十四五”规划编制、智能装备制造产业“十四五”规划》编制工作</w:t>
            </w:r>
          </w:p>
        </w:tc>
      </w:tr>
    </w:tbl>
    <w:p>
      <w:pPr>
        <w:pStyle w:val="18"/>
        <w:spacing w:line="2" w:lineRule="exact"/>
        <w:jc w:val="center"/>
        <w:rPr>
          <w:rFonts w:hint="eastAsia" w:asciiTheme="minorEastAsia" w:hAnsiTheme="minorEastAsia" w:eastAsiaTheme="minorEastAsia" w:cstheme="minorEastAsia"/>
          <w:b w:val="0"/>
          <w:bCs w:val="0"/>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2551"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征求市直相关部门意见</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征求相关市直有关部门对规划编制的相关意见至少一次</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规划编制程序要求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规划编制符合项目建设书要求</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规划具有科学性、适用性、指导性作用。</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规划具有科学性、适用性、指导性作用。</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规划编制完成及时率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按照规划合同的时限要求及时完成编制工作</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≤132</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成本控制率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年度支出不大于财政预算资金</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≤88.9</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预算批复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促进工业企业效益水平</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指导全市工业产业聚集、产业链补链、强链、延链、企业转型升级持续推进，提升产业核心竞争力和经济效益水平。</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指导全市工业产业聚集、产业链补链、强链、延链、企业转型升级持续推进，提升产业核心竞争力和经济效益水平。</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推动工业企业绿色发展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按照国家、省关于工业企业发展的相关政策，在规划中明确工业企业环境保护、绿色发展方向和路径。</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按照国家、省关于工业企业发展的相关政策，在规划中明确工业企业环境保护、绿色发展方向和路径。</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按照国家、省和我市产业定位相关政策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指导全市工业高质量发展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规划要指导全市“十四五”期间工业高质量健康发展</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规划要指导全市“十四五”期间工业高质量健康发展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工业企业满意度测评</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规划编制要求</w:t>
            </w:r>
          </w:p>
        </w:tc>
      </w:tr>
    </w:tbl>
    <w:p>
      <w:pPr>
        <w:pStyle w:val="18"/>
        <w:rPr>
          <w:rFonts w:hint="eastAsia" w:asciiTheme="minorEastAsia" w:hAnsiTheme="minorEastAsia" w:eastAsiaTheme="minorEastAsia" w:cstheme="minorEastAsia"/>
          <w:b w:val="0"/>
          <w:bCs w:val="0"/>
        </w:rPr>
      </w:pPr>
    </w:p>
    <w:p>
      <w:pPr>
        <w:pStyle w:val="18"/>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4、工业和信息化产业发展资金绩效目标表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2756" w:type="dxa"/>
            <w:tcBorders>
              <w:bottom w:val="single" w:color="FFFFFF" w:sz="6" w:space="0"/>
            </w:tcBorders>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1.鼓励企业加快发展，推动工业经济提质增效。</w:t>
            </w:r>
          </w:p>
        </w:tc>
      </w:tr>
    </w:tbl>
    <w:p>
      <w:pPr>
        <w:pStyle w:val="18"/>
        <w:spacing w:line="2" w:lineRule="exact"/>
        <w:jc w:val="center"/>
        <w:rPr>
          <w:rFonts w:hint="eastAsia" w:asciiTheme="minorEastAsia" w:hAnsiTheme="minorEastAsia" w:eastAsiaTheme="minorEastAsia" w:cstheme="minorEastAsia"/>
          <w:b w:val="0"/>
          <w:bCs w:val="0"/>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2551"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奖补规上工业企业数量</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奖补规上工业企业数量</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≥420奖补规上工业企业420家以上</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2022年规上工业名录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完成情况</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”亩均论英雄“平台完成情况</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”亩均论英雄“平台正常运行行</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市”亩均论英雄“文件要求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监测上报及时率 </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监测上报及时率 </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≥90监测上报及时率90%以上</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2022年监测平台月度上报及时性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成本控制率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专项经费控制数</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≤200专项经费控制200万以内</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促进经济发展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对工业经济发展促进作用</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促进经济发展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推进转型升级</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对工业发展促进作用</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促进转型升级</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推进绿色发展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对工业绿色发展具有促进作用</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促进绿色发展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保障业务正常进行</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保障工业信息化工作正常开展</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保障工业信息化工作正常开展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企业满意度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企业满意度</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≥90服务企业满意度</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工作目标</w:t>
            </w:r>
          </w:p>
        </w:tc>
      </w:tr>
    </w:tbl>
    <w:p>
      <w:pPr>
        <w:pStyle w:val="18"/>
        <w:rPr>
          <w:rFonts w:hint="eastAsia" w:asciiTheme="minorEastAsia" w:hAnsiTheme="minorEastAsia" w:eastAsiaTheme="minorEastAsia" w:cstheme="minorEastAsia"/>
          <w:b w:val="0"/>
          <w:bCs w:val="0"/>
        </w:rPr>
      </w:pPr>
    </w:p>
    <w:p>
      <w:pPr>
        <w:pStyle w:val="18"/>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5、中国数字经济博览会承德会展绩效目标表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2756" w:type="dxa"/>
            <w:tcBorders>
              <w:bottom w:val="single" w:color="FFFFFF" w:sz="6" w:space="0"/>
            </w:tcBorders>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1.完成布展任务</w:t>
            </w:r>
          </w:p>
        </w:tc>
      </w:tr>
    </w:tbl>
    <w:p>
      <w:pPr>
        <w:pStyle w:val="18"/>
        <w:spacing w:line="2" w:lineRule="exact"/>
        <w:jc w:val="center"/>
        <w:rPr>
          <w:rFonts w:hint="eastAsia" w:asciiTheme="minorEastAsia" w:hAnsiTheme="minorEastAsia" w:eastAsiaTheme="minorEastAsia" w:cstheme="minorEastAsia"/>
          <w:b w:val="0"/>
          <w:bCs w:val="0"/>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2551"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企业数量</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参加展会的企业数量</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企业知名度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是否提高了企业知名度</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是否提高了企业知名度</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组织参展时间</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按时组织参加展会</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按时组织参加展会</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根据省政府安排确定时间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成本控制率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专项工作经费控制数</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≤100支出不超过100万  </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推动承德经济发展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推动承德经济发展</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推动承德经济发展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媒体是否进行报道</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媒体是否进行报道</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媒体是否进行报道</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不涉及 </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不涉及 </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不涉及 </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不涉及 </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不涉及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企业满意度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参展企业满意度</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历史经验水平</w:t>
            </w:r>
          </w:p>
        </w:tc>
      </w:tr>
    </w:tbl>
    <w:p>
      <w:pPr>
        <w:pStyle w:val="18"/>
        <w:rPr>
          <w:rFonts w:hint="eastAsia" w:asciiTheme="minorEastAsia" w:hAnsiTheme="minorEastAsia" w:eastAsiaTheme="minorEastAsia" w:cstheme="minorEastAsia"/>
          <w:b w:val="0"/>
          <w:bCs w:val="0"/>
        </w:rPr>
      </w:pPr>
    </w:p>
    <w:p>
      <w:pPr>
        <w:pStyle w:val="18"/>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6、组建国家钒钛产业联盟会费绩效目标表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2756" w:type="dxa"/>
            <w:tcBorders>
              <w:bottom w:val="single" w:color="FFFFFF" w:sz="6" w:space="0"/>
            </w:tcBorders>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1.围绕科技创新、科技创业，努力打造集技术研发、成果转化、产业转化、产品应用于一体的创新创业平台，发挥钒钛资源优势，促进钒钛产业高质量发展</w:t>
            </w:r>
          </w:p>
        </w:tc>
      </w:tr>
    </w:tbl>
    <w:p>
      <w:pPr>
        <w:pStyle w:val="18"/>
        <w:spacing w:line="2" w:lineRule="exact"/>
        <w:jc w:val="center"/>
        <w:rPr>
          <w:rFonts w:hint="eastAsia" w:asciiTheme="minorEastAsia" w:hAnsiTheme="minorEastAsia" w:eastAsiaTheme="minorEastAsia" w:cstheme="minorEastAsia"/>
          <w:b w:val="0"/>
          <w:bCs w:val="0"/>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35"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2551"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268" w:type="dxa"/>
            <w:vAlign w:val="center"/>
          </w:tcPr>
          <w:p>
            <w:pPr>
              <w:pStyle w:val="1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完成调研考察数量</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完成调研考察数量</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研究考察评审合格率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研究考察评审合格率=研究合格数/所有研究数*100%</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科研完成及时性</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按时完成科研任务，不延期</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调研报告费用成本</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完成调研报告期间的费用等支出</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预算批复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研究成果数量</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研究成果情况</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促进生态文明建设，推动绿色发展</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促进生态文明建设，推动绿色发展</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促进生态文明建设，推动绿色发展</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研究考察成果利用率或转化率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研究考察成果对实际工作的促进作用</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研究考察成果对实际工作的促进作用</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hint="eastAsia" w:asciiTheme="minorEastAsia" w:hAnsiTheme="minorEastAsia" w:eastAsiaTheme="minorEastAsia" w:cstheme="minorEastAsia"/>
                <w:b w:val="0"/>
                <w:bCs w:val="0"/>
              </w:rPr>
            </w:pP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受益人员满意度</w:t>
            </w:r>
          </w:p>
        </w:tc>
        <w:tc>
          <w:tcPr>
            <w:tcW w:w="2835"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受益人员满意情况</w:t>
            </w:r>
          </w:p>
        </w:tc>
        <w:tc>
          <w:tcPr>
            <w:tcW w:w="2551"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2268" w:type="dxa"/>
            <w:vAlign w:val="center"/>
          </w:tcPr>
          <w:p>
            <w:pPr>
              <w:pStyle w:val="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关于与攀枝花市政府共同发起组建国家钒钛产业联盟商洽对接情况的报告（含市领导批示）【2021】C2300</w:t>
            </w:r>
          </w:p>
        </w:tc>
      </w:tr>
    </w:tbl>
    <w:p>
      <w:pPr>
        <w:pStyle w:val="18"/>
        <w:rPr>
          <w:rFonts w:hint="eastAsia" w:asciiTheme="minorEastAsia" w:hAnsiTheme="minorEastAsia" w:eastAsiaTheme="minorEastAsia" w:cstheme="minorEastAsia"/>
          <w:b w:val="0"/>
          <w:bCs w:val="0"/>
        </w:rPr>
        <w:sectPr>
          <w:pgSz w:w="16840" w:h="11900" w:orient="landscape"/>
          <w:pgMar w:top="1361" w:right="1020" w:bottom="1361" w:left="102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六、政府采购预算情况</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2022年，承德市工业和信息化局本级安排政府采购预算103.00万元。具体内容见下表。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单位政府采购预算</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9"/>
        <w:gridCol w:w="901"/>
        <w:gridCol w:w="1057"/>
        <w:gridCol w:w="1057"/>
        <w:gridCol w:w="661"/>
        <w:gridCol w:w="793"/>
        <w:gridCol w:w="846"/>
        <w:gridCol w:w="898"/>
        <w:gridCol w:w="898"/>
        <w:gridCol w:w="898"/>
        <w:gridCol w:w="898"/>
        <w:gridCol w:w="898"/>
        <w:gridCol w:w="898"/>
        <w:gridCol w:w="899"/>
        <w:gridCol w:w="920"/>
        <w:gridCol w:w="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2708" w:type="pct"/>
            <w:gridSpan w:val="9"/>
            <w:tcBorders>
              <w:top w:val="single" w:color="FFFFFF" w:sz="6" w:space="0"/>
              <w:left w:val="single" w:color="FFFFFF" w:sz="6" w:space="0"/>
              <w:right w:val="single" w:color="FFFFFF" w:sz="6" w:space="0"/>
            </w:tcBorders>
            <w:vAlign w:val="center"/>
          </w:tcPr>
          <w:p>
            <w:pPr>
              <w:pStyle w:val="2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政府采购项目来源</w:t>
            </w:r>
          </w:p>
        </w:tc>
        <w:tc>
          <w:tcPr>
            <w:tcW w:w="353" w:type="pct"/>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采购物品名称</w:t>
            </w:r>
          </w:p>
        </w:tc>
        <w:tc>
          <w:tcPr>
            <w:tcW w:w="353" w:type="pct"/>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政府采购目录序号</w:t>
            </w:r>
          </w:p>
        </w:tc>
        <w:tc>
          <w:tcPr>
            <w:tcW w:w="221" w:type="pct"/>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计量  单位</w:t>
            </w:r>
          </w:p>
        </w:tc>
        <w:tc>
          <w:tcPr>
            <w:tcW w:w="265" w:type="pct"/>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265" w:type="pct"/>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单价</w:t>
            </w:r>
          </w:p>
        </w:tc>
        <w:tc>
          <w:tcPr>
            <w:tcW w:w="2407" w:type="pct"/>
            <w:gridSpan w:val="8"/>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政府采购金额（当年部门预算安排资金）</w:t>
            </w:r>
          </w:p>
        </w:tc>
        <w:tc>
          <w:tcPr>
            <w:tcW w:w="301" w:type="pct"/>
            <w:vMerge w:val="restar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301"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    资金</w:t>
            </w:r>
          </w:p>
        </w:tc>
        <w:tc>
          <w:tcPr>
            <w:tcW w:w="353" w:type="pct"/>
            <w:vMerge w:val="continue"/>
          </w:tcPr>
          <w:p>
            <w:pPr>
              <w:rPr>
                <w:rFonts w:hint="eastAsia" w:asciiTheme="minorEastAsia" w:hAnsiTheme="minorEastAsia" w:eastAsiaTheme="minorEastAsia" w:cstheme="minorEastAsia"/>
                <w:b w:val="0"/>
                <w:bCs w:val="0"/>
              </w:rPr>
            </w:pPr>
          </w:p>
        </w:tc>
        <w:tc>
          <w:tcPr>
            <w:tcW w:w="353" w:type="pct"/>
            <w:vMerge w:val="continue"/>
          </w:tcPr>
          <w:p>
            <w:pPr>
              <w:rPr>
                <w:rFonts w:hint="eastAsia" w:asciiTheme="minorEastAsia" w:hAnsiTheme="minorEastAsia" w:eastAsiaTheme="minorEastAsia" w:cstheme="minorEastAsia"/>
                <w:b w:val="0"/>
                <w:bCs w:val="0"/>
              </w:rPr>
            </w:pPr>
          </w:p>
        </w:tc>
        <w:tc>
          <w:tcPr>
            <w:tcW w:w="221" w:type="pct"/>
            <w:vMerge w:val="continue"/>
          </w:tcPr>
          <w:p>
            <w:pPr>
              <w:rPr>
                <w:rFonts w:hint="eastAsia" w:asciiTheme="minorEastAsia" w:hAnsiTheme="minorEastAsia" w:eastAsiaTheme="minorEastAsia" w:cstheme="minorEastAsia"/>
                <w:b w:val="0"/>
                <w:bCs w:val="0"/>
              </w:rPr>
            </w:pPr>
          </w:p>
        </w:tc>
        <w:tc>
          <w:tcPr>
            <w:tcW w:w="265" w:type="pct"/>
            <w:vMerge w:val="continue"/>
          </w:tcPr>
          <w:p>
            <w:pPr>
              <w:rPr>
                <w:rFonts w:hint="eastAsia" w:asciiTheme="minorEastAsia" w:hAnsiTheme="minorEastAsia" w:eastAsiaTheme="minorEastAsia" w:cstheme="minorEastAsia"/>
                <w:b w:val="0"/>
                <w:bCs w:val="0"/>
              </w:rPr>
            </w:pPr>
          </w:p>
        </w:tc>
        <w:tc>
          <w:tcPr>
            <w:tcW w:w="265" w:type="pct"/>
            <w:vMerge w:val="continue"/>
          </w:tcPr>
          <w:p>
            <w:pPr>
              <w:rPr>
                <w:rFonts w:hint="eastAsia" w:asciiTheme="minorEastAsia" w:hAnsiTheme="minorEastAsia" w:eastAsiaTheme="minorEastAsia" w:cstheme="minorEastAsia"/>
                <w:b w:val="0"/>
                <w:bCs w:val="0"/>
              </w:rPr>
            </w:pP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一般公共预算拨款</w:t>
            </w: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基金预算拨款</w:t>
            </w: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国有资本经营预算拨款</w:t>
            </w: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财政专户核拨</w:t>
            </w: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    资金</w:t>
            </w:r>
          </w:p>
        </w:tc>
        <w:tc>
          <w:tcPr>
            <w:tcW w:w="300"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财政拨    款结转</w:t>
            </w:r>
          </w:p>
        </w:tc>
        <w:tc>
          <w:tcPr>
            <w:tcW w:w="302" w:type="pct"/>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非财政    拨款结    转结余</w:t>
            </w:r>
          </w:p>
        </w:tc>
        <w:tc>
          <w:tcPr>
            <w:tcW w:w="301" w:type="pct"/>
            <w:vMerge w:val="continue"/>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  计</w:t>
            </w:r>
          </w:p>
        </w:tc>
        <w:tc>
          <w:tcPr>
            <w:tcW w:w="301" w:type="pct"/>
            <w:vAlign w:val="center"/>
          </w:tcPr>
          <w:p>
            <w:pPr>
              <w:pStyle w:val="13"/>
              <w:rPr>
                <w:rFonts w:hint="eastAsia" w:asciiTheme="minorEastAsia" w:hAnsiTheme="minorEastAsia" w:eastAsiaTheme="minorEastAsia" w:cstheme="minorEastAsia"/>
                <w:b w:val="0"/>
                <w:bCs w:val="0"/>
              </w:rPr>
            </w:pPr>
          </w:p>
        </w:tc>
        <w:tc>
          <w:tcPr>
            <w:tcW w:w="353" w:type="pct"/>
            <w:vAlign w:val="center"/>
          </w:tcPr>
          <w:p>
            <w:pPr>
              <w:pStyle w:val="14"/>
              <w:rPr>
                <w:rFonts w:hint="eastAsia" w:asciiTheme="minorEastAsia" w:hAnsiTheme="minorEastAsia" w:eastAsiaTheme="minorEastAsia" w:cstheme="minorEastAsia"/>
                <w:b w:val="0"/>
                <w:bCs w:val="0"/>
              </w:rPr>
            </w:pPr>
          </w:p>
        </w:tc>
        <w:tc>
          <w:tcPr>
            <w:tcW w:w="353" w:type="pct"/>
            <w:vAlign w:val="center"/>
          </w:tcPr>
          <w:p>
            <w:pPr>
              <w:pStyle w:val="14"/>
              <w:rPr>
                <w:rFonts w:hint="eastAsia" w:asciiTheme="minorEastAsia" w:hAnsiTheme="minorEastAsia" w:eastAsiaTheme="minorEastAsia" w:cstheme="minorEastAsia"/>
                <w:b w:val="0"/>
                <w:bCs w:val="0"/>
              </w:rPr>
            </w:pPr>
          </w:p>
        </w:tc>
        <w:tc>
          <w:tcPr>
            <w:tcW w:w="221" w:type="pct"/>
            <w:vAlign w:val="center"/>
          </w:tcPr>
          <w:p>
            <w:pPr>
              <w:pStyle w:val="12"/>
              <w:rPr>
                <w:rFonts w:hint="eastAsia" w:asciiTheme="minorEastAsia" w:hAnsiTheme="minorEastAsia" w:eastAsiaTheme="minorEastAsia" w:cstheme="minorEastAsia"/>
                <w:b w:val="0"/>
                <w:bCs w:val="0"/>
              </w:rPr>
            </w:pPr>
          </w:p>
        </w:tc>
        <w:tc>
          <w:tcPr>
            <w:tcW w:w="265" w:type="pct"/>
            <w:vAlign w:val="center"/>
          </w:tcPr>
          <w:p>
            <w:pPr>
              <w:pStyle w:val="13"/>
              <w:rPr>
                <w:rFonts w:hint="eastAsia" w:asciiTheme="minorEastAsia" w:hAnsiTheme="minorEastAsia" w:eastAsiaTheme="minorEastAsia" w:cstheme="minorEastAsia"/>
                <w:b w:val="0"/>
                <w:bCs w:val="0"/>
              </w:rPr>
            </w:pPr>
          </w:p>
        </w:tc>
        <w:tc>
          <w:tcPr>
            <w:tcW w:w="265"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103.00</w:t>
            </w:r>
          </w:p>
        </w:tc>
        <w:tc>
          <w:tcPr>
            <w:tcW w:w="300" w:type="pct"/>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103.00</w:t>
            </w: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2" w:type="pct"/>
            <w:vAlign w:val="center"/>
          </w:tcPr>
          <w:p>
            <w:pPr>
              <w:pStyle w:val="13"/>
              <w:rPr>
                <w:rFonts w:hint="eastAsia" w:asciiTheme="minorEastAsia" w:hAnsiTheme="minorEastAsia" w:eastAsiaTheme="minorEastAsia" w:cstheme="minorEastAsia"/>
                <w:b w:val="0"/>
                <w:bCs w:val="0"/>
              </w:rPr>
            </w:pPr>
          </w:p>
        </w:tc>
        <w:tc>
          <w:tcPr>
            <w:tcW w:w="301" w:type="pct"/>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承德市工业和信息化局本级小计</w:t>
            </w:r>
          </w:p>
        </w:tc>
        <w:tc>
          <w:tcPr>
            <w:tcW w:w="301" w:type="pct"/>
            <w:vAlign w:val="center"/>
          </w:tcPr>
          <w:p>
            <w:pPr>
              <w:pStyle w:val="13"/>
              <w:rPr>
                <w:rFonts w:hint="eastAsia" w:asciiTheme="minorEastAsia" w:hAnsiTheme="minorEastAsia" w:eastAsiaTheme="minorEastAsia" w:cstheme="minorEastAsia"/>
                <w:b w:val="0"/>
                <w:bCs w:val="0"/>
              </w:rPr>
            </w:pPr>
          </w:p>
        </w:tc>
        <w:tc>
          <w:tcPr>
            <w:tcW w:w="353" w:type="pct"/>
            <w:vAlign w:val="center"/>
          </w:tcPr>
          <w:p>
            <w:pPr>
              <w:pStyle w:val="14"/>
              <w:rPr>
                <w:rFonts w:hint="eastAsia" w:asciiTheme="minorEastAsia" w:hAnsiTheme="minorEastAsia" w:eastAsiaTheme="minorEastAsia" w:cstheme="minorEastAsia"/>
                <w:b w:val="0"/>
                <w:bCs w:val="0"/>
              </w:rPr>
            </w:pPr>
          </w:p>
        </w:tc>
        <w:tc>
          <w:tcPr>
            <w:tcW w:w="353" w:type="pct"/>
            <w:vAlign w:val="center"/>
          </w:tcPr>
          <w:p>
            <w:pPr>
              <w:pStyle w:val="14"/>
              <w:rPr>
                <w:rFonts w:hint="eastAsia" w:asciiTheme="minorEastAsia" w:hAnsiTheme="minorEastAsia" w:eastAsiaTheme="minorEastAsia" w:cstheme="minorEastAsia"/>
                <w:b w:val="0"/>
                <w:bCs w:val="0"/>
              </w:rPr>
            </w:pPr>
          </w:p>
        </w:tc>
        <w:tc>
          <w:tcPr>
            <w:tcW w:w="221" w:type="pct"/>
            <w:vAlign w:val="center"/>
          </w:tcPr>
          <w:p>
            <w:pPr>
              <w:pStyle w:val="12"/>
              <w:rPr>
                <w:rFonts w:hint="eastAsia" w:asciiTheme="minorEastAsia" w:hAnsiTheme="minorEastAsia" w:eastAsiaTheme="minorEastAsia" w:cstheme="minorEastAsia"/>
                <w:b w:val="0"/>
                <w:bCs w:val="0"/>
              </w:rPr>
            </w:pPr>
          </w:p>
        </w:tc>
        <w:tc>
          <w:tcPr>
            <w:tcW w:w="265" w:type="pct"/>
            <w:vAlign w:val="center"/>
          </w:tcPr>
          <w:p>
            <w:pPr>
              <w:pStyle w:val="13"/>
              <w:rPr>
                <w:rFonts w:hint="eastAsia" w:asciiTheme="minorEastAsia" w:hAnsiTheme="minorEastAsia" w:eastAsiaTheme="minorEastAsia" w:cstheme="minorEastAsia"/>
                <w:b w:val="0"/>
                <w:bCs w:val="0"/>
              </w:rPr>
            </w:pPr>
          </w:p>
        </w:tc>
        <w:tc>
          <w:tcPr>
            <w:tcW w:w="265"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103.00</w:t>
            </w:r>
          </w:p>
        </w:tc>
        <w:tc>
          <w:tcPr>
            <w:tcW w:w="300" w:type="pct"/>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103.00</w:t>
            </w: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0" w:type="pct"/>
            <w:vAlign w:val="center"/>
          </w:tcPr>
          <w:p>
            <w:pPr>
              <w:pStyle w:val="13"/>
              <w:rPr>
                <w:rFonts w:hint="eastAsia" w:asciiTheme="minorEastAsia" w:hAnsiTheme="minorEastAsia" w:eastAsiaTheme="minorEastAsia" w:cstheme="minorEastAsia"/>
                <w:b w:val="0"/>
                <w:bCs w:val="0"/>
              </w:rPr>
            </w:pPr>
          </w:p>
        </w:tc>
        <w:tc>
          <w:tcPr>
            <w:tcW w:w="302" w:type="pct"/>
            <w:vAlign w:val="center"/>
          </w:tcPr>
          <w:p>
            <w:pPr>
              <w:pStyle w:val="13"/>
              <w:rPr>
                <w:rFonts w:hint="eastAsia" w:asciiTheme="minorEastAsia" w:hAnsiTheme="minorEastAsia" w:eastAsiaTheme="minorEastAsia" w:cstheme="minorEastAsia"/>
                <w:b w:val="0"/>
                <w:bCs w:val="0"/>
              </w:rPr>
            </w:pPr>
          </w:p>
        </w:tc>
        <w:tc>
          <w:tcPr>
            <w:tcW w:w="301" w:type="pct"/>
            <w:vAlign w:val="center"/>
          </w:tcPr>
          <w:p>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工业和信息化工作经费</w:t>
            </w:r>
          </w:p>
        </w:tc>
        <w:tc>
          <w:tcPr>
            <w:tcW w:w="301"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80.00</w:t>
            </w:r>
          </w:p>
        </w:tc>
        <w:tc>
          <w:tcPr>
            <w:tcW w:w="353" w:type="pct"/>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投影仪</w:t>
            </w:r>
          </w:p>
        </w:tc>
        <w:tc>
          <w:tcPr>
            <w:tcW w:w="353" w:type="pct"/>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A020202</w:t>
            </w:r>
          </w:p>
        </w:tc>
        <w:tc>
          <w:tcPr>
            <w:tcW w:w="221" w:type="pct"/>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台</w:t>
            </w:r>
          </w:p>
        </w:tc>
        <w:tc>
          <w:tcPr>
            <w:tcW w:w="265"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65"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3.00</w:t>
            </w:r>
          </w:p>
        </w:tc>
        <w:tc>
          <w:tcPr>
            <w:tcW w:w="300"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3.00</w:t>
            </w:r>
          </w:p>
        </w:tc>
        <w:tc>
          <w:tcPr>
            <w:tcW w:w="300"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3.00</w:t>
            </w: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2" w:type="pct"/>
            <w:vAlign w:val="center"/>
          </w:tcPr>
          <w:p>
            <w:pPr>
              <w:pStyle w:val="11"/>
              <w:rPr>
                <w:rFonts w:hint="eastAsia" w:asciiTheme="minorEastAsia" w:hAnsiTheme="minorEastAsia" w:eastAsiaTheme="minorEastAsia" w:cstheme="minorEastAsia"/>
                <w:b w:val="0"/>
                <w:bCs w:val="0"/>
              </w:rPr>
            </w:pPr>
          </w:p>
        </w:tc>
        <w:tc>
          <w:tcPr>
            <w:tcW w:w="301"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中国数字经济博览会承德会展</w:t>
            </w:r>
          </w:p>
        </w:tc>
        <w:tc>
          <w:tcPr>
            <w:tcW w:w="301"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53" w:type="pct"/>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博览会服务</w:t>
            </w:r>
          </w:p>
        </w:tc>
        <w:tc>
          <w:tcPr>
            <w:tcW w:w="353" w:type="pct"/>
            <w:vAlign w:val="center"/>
          </w:tcPr>
          <w:p>
            <w:pPr>
              <w:pStyle w:val="1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C060201</w:t>
            </w:r>
          </w:p>
        </w:tc>
        <w:tc>
          <w:tcPr>
            <w:tcW w:w="221" w:type="pct"/>
            <w:vAlign w:val="center"/>
          </w:tcPr>
          <w:p>
            <w:pPr>
              <w:pStyle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次</w:t>
            </w:r>
          </w:p>
        </w:tc>
        <w:tc>
          <w:tcPr>
            <w:tcW w:w="265"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265"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00"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00"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0" w:type="pct"/>
            <w:vAlign w:val="center"/>
          </w:tcPr>
          <w:p>
            <w:pPr>
              <w:pStyle w:val="11"/>
              <w:rPr>
                <w:rFonts w:hint="eastAsia" w:asciiTheme="minorEastAsia" w:hAnsiTheme="minorEastAsia" w:eastAsiaTheme="minorEastAsia" w:cstheme="minorEastAsia"/>
                <w:b w:val="0"/>
                <w:bCs w:val="0"/>
              </w:rPr>
            </w:pPr>
          </w:p>
        </w:tc>
        <w:tc>
          <w:tcPr>
            <w:tcW w:w="302" w:type="pct"/>
            <w:vAlign w:val="center"/>
          </w:tcPr>
          <w:p>
            <w:pPr>
              <w:pStyle w:val="11"/>
              <w:rPr>
                <w:rFonts w:hint="eastAsia" w:asciiTheme="minorEastAsia" w:hAnsiTheme="minorEastAsia" w:eastAsiaTheme="minorEastAsia" w:cstheme="minorEastAsia"/>
                <w:b w:val="0"/>
                <w:bCs w:val="0"/>
              </w:rPr>
            </w:pPr>
          </w:p>
        </w:tc>
        <w:tc>
          <w:tcPr>
            <w:tcW w:w="301" w:type="pct"/>
            <w:vAlign w:val="center"/>
          </w:tcPr>
          <w:p>
            <w:pPr>
              <w:pStyle w:val="11"/>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r>
    </w:tbl>
    <w:p>
      <w:pPr>
        <w:spacing w:line="500" w:lineRule="exact"/>
        <w:ind w:firstLine="42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注：同一采购目录序号的物品，其单价会因配置规格不同而变动，均符合资产配置标准。涉密采购事项按照相关规定执行。</w:t>
      </w:r>
    </w:p>
    <w:p>
      <w:pPr>
        <w:ind w:firstLine="640"/>
        <w:rPr>
          <w:rFonts w:hint="eastAsia" w:asciiTheme="minorEastAsia" w:hAnsiTheme="minorEastAsia" w:eastAsiaTheme="minorEastAsia" w:cstheme="minorEastAsia"/>
          <w:b w:val="0"/>
          <w:bCs w:val="0"/>
          <w:sz w:val="28"/>
          <w:szCs w:val="28"/>
        </w:rPr>
      </w:pPr>
    </w:p>
    <w:p>
      <w:pPr>
        <w:spacing w:before="10" w:after="10"/>
        <w:ind w:firstLine="640"/>
        <w:outlineLvl w:val="5"/>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七、国有资产信息</w:t>
      </w:r>
    </w:p>
    <w:p>
      <w:pPr>
        <w:spacing w:line="500" w:lineRule="exact"/>
        <w:ind w:firstLine="560"/>
        <w:rPr>
          <w:rFonts w:hint="eastAsia" w:asciiTheme="minorEastAsia" w:hAnsiTheme="minorEastAsia" w:eastAsiaTheme="minorEastAsia" w:cstheme="minorEastAsia"/>
          <w:b w:val="0"/>
          <w:bCs w:val="0"/>
          <w:color w:val="000000"/>
          <w:sz w:val="28"/>
        </w:rPr>
      </w:pPr>
      <w:r>
        <w:rPr>
          <w:rFonts w:hint="eastAsia" w:asciiTheme="minorEastAsia" w:hAnsiTheme="minorEastAsia" w:eastAsiaTheme="minorEastAsia" w:cstheme="minorEastAsia"/>
          <w:b w:val="0"/>
          <w:bCs w:val="0"/>
          <w:color w:val="000000"/>
          <w:sz w:val="28"/>
        </w:rPr>
        <w:t>承德市工业和信息化局本级上年末固定资产金额为</w:t>
      </w:r>
      <w:r>
        <w:rPr>
          <w:rFonts w:hint="eastAsia" w:asciiTheme="minorEastAsia" w:hAnsiTheme="minorEastAsia" w:eastAsiaTheme="minorEastAsia" w:cstheme="minorEastAsia"/>
          <w:b w:val="0"/>
          <w:bCs w:val="0"/>
          <w:color w:val="auto"/>
          <w:sz w:val="28"/>
          <w:lang w:val="en-US" w:eastAsia="zh-CN"/>
        </w:rPr>
        <w:t>863.58</w:t>
      </w:r>
      <w:r>
        <w:rPr>
          <w:rFonts w:hint="eastAsia" w:asciiTheme="minorEastAsia" w:hAnsiTheme="minorEastAsia" w:eastAsiaTheme="minorEastAsia" w:cstheme="minorEastAsia"/>
          <w:b w:val="0"/>
          <w:bCs w:val="0"/>
          <w:color w:val="000000"/>
          <w:sz w:val="28"/>
        </w:rPr>
        <w:t>万元（详见下表）。本年度拟购置固定资产总额为</w:t>
      </w:r>
      <w:r>
        <w:rPr>
          <w:rFonts w:hint="eastAsia" w:asciiTheme="minorEastAsia" w:hAnsiTheme="minorEastAsia" w:eastAsiaTheme="minorEastAsia" w:cstheme="minorEastAsia"/>
          <w:b w:val="0"/>
          <w:bCs w:val="0"/>
          <w:color w:val="000000"/>
          <w:sz w:val="28"/>
          <w:lang w:val="en-US" w:eastAsia="zh-CN"/>
        </w:rPr>
        <w:t>3</w:t>
      </w:r>
      <w:r>
        <w:rPr>
          <w:rFonts w:hint="eastAsia" w:asciiTheme="minorEastAsia" w:hAnsiTheme="minorEastAsia" w:eastAsiaTheme="minorEastAsia" w:cstheme="minorEastAsia"/>
          <w:b w:val="0"/>
          <w:bCs w:val="0"/>
          <w:color w:val="000000"/>
          <w:sz w:val="28"/>
        </w:rPr>
        <w:t>.00万元，已按要求列入政府采购预算，详见政府采购预算表。</w:t>
      </w:r>
    </w:p>
    <w:p>
      <w:pPr>
        <w:spacing w:line="500" w:lineRule="exact"/>
        <w:ind w:firstLine="560"/>
        <w:rPr>
          <w:rFonts w:hint="eastAsia" w:asciiTheme="minorEastAsia" w:hAnsiTheme="minorEastAsia" w:eastAsiaTheme="minorEastAsia" w:cstheme="minorEastAsia"/>
          <w:b w:val="0"/>
          <w:bCs w:val="0"/>
          <w:color w:val="000000"/>
          <w:sz w:val="28"/>
        </w:rPr>
      </w:pPr>
    </w:p>
    <w:p>
      <w:pPr>
        <w:spacing w:line="500" w:lineRule="exact"/>
        <w:ind w:firstLine="560"/>
        <w:rPr>
          <w:rFonts w:hint="eastAsia" w:asciiTheme="minorEastAsia" w:hAnsiTheme="minorEastAsia" w:eastAsiaTheme="minorEastAsia" w:cstheme="minorEastAsia"/>
          <w:b w:val="0"/>
          <w:bCs w:val="0"/>
          <w:color w:val="000000"/>
          <w:sz w:val="28"/>
        </w:rPr>
      </w:pPr>
    </w:p>
    <w:p>
      <w:pPr>
        <w:spacing w:line="500" w:lineRule="exact"/>
        <w:ind w:firstLine="560"/>
        <w:rPr>
          <w:rFonts w:hint="eastAsia" w:asciiTheme="minorEastAsia" w:hAnsiTheme="minorEastAsia" w:eastAsiaTheme="minorEastAsia" w:cstheme="minorEastAsia"/>
          <w:b w:val="0"/>
          <w:bCs w:val="0"/>
          <w:color w:val="000000"/>
          <w:sz w:val="28"/>
        </w:rPr>
      </w:pPr>
    </w:p>
    <w:p>
      <w:pPr>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szCs w:val="28"/>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593001承德市工业和信息化局本级</w:t>
            </w:r>
          </w:p>
        </w:tc>
        <w:tc>
          <w:tcPr>
            <w:tcW w:w="5670"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   目</w:t>
            </w:r>
          </w:p>
        </w:tc>
        <w:tc>
          <w:tcPr>
            <w:tcW w:w="28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2835" w:type="dxa"/>
            <w:vAlign w:val="center"/>
          </w:tcPr>
          <w:p>
            <w:pPr>
              <w:pStyle w:val="8"/>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both"/>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资产总额</w:t>
            </w:r>
          </w:p>
        </w:tc>
        <w:tc>
          <w:tcPr>
            <w:tcW w:w="2835" w:type="dxa"/>
            <w:vAlign w:val="center"/>
          </w:tcPr>
          <w:p>
            <w:pPr>
              <w:widowControl/>
              <w:jc w:val="center"/>
              <w:rPr>
                <w:rFonts w:hint="eastAsia" w:asciiTheme="minorEastAsia" w:hAnsiTheme="minorEastAsia" w:eastAsiaTheme="minorEastAsia" w:cstheme="minorEastAsia"/>
                <w:b w:val="0"/>
                <w:bCs w:val="0"/>
                <w:kern w:val="0"/>
                <w:sz w:val="22"/>
                <w:szCs w:val="24"/>
                <w:lang w:val="en-US" w:eastAsia="uk-UA" w:bidi="ar-SA"/>
              </w:rPr>
            </w:pPr>
            <w:r>
              <w:rPr>
                <w:rFonts w:hint="eastAsia" w:asciiTheme="minorEastAsia" w:hAnsiTheme="minorEastAsia" w:eastAsiaTheme="minorEastAsia" w:cstheme="minorEastAsia"/>
                <w:b w:val="0"/>
                <w:bCs w:val="0"/>
                <w:kern w:val="0"/>
                <w:sz w:val="22"/>
              </w:rPr>
              <w:t>——</w:t>
            </w:r>
          </w:p>
        </w:tc>
        <w:tc>
          <w:tcPr>
            <w:tcW w:w="2835" w:type="dxa"/>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863.58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1、房屋（平方米）</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4503.94</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371.28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 xml:space="preserve">  其中：办公用房（平方米）</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830.94</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80.84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2、车辆（台、辆）</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6</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140.75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3、单价在20万元以上设备</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uk-UA" w:bidi="ar-SA"/>
              </w:rPr>
            </w:pPr>
            <w:r>
              <w:rPr>
                <w:rFonts w:hint="eastAsia" w:asciiTheme="minorEastAsia" w:hAnsiTheme="minorEastAsia" w:eastAsiaTheme="minorEastAsia" w:cstheme="minorEastAsia"/>
                <w:b w:val="0"/>
                <w:bCs w:val="0"/>
                <w:kern w:val="0"/>
                <w:sz w:val="22"/>
              </w:rPr>
              <w:t>——</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4、其他固定资产</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uk-UA" w:bidi="ar-SA"/>
              </w:rPr>
            </w:pPr>
            <w:r>
              <w:rPr>
                <w:rFonts w:hint="eastAsia" w:asciiTheme="minorEastAsia" w:hAnsiTheme="minorEastAsia" w:eastAsiaTheme="minorEastAsia" w:cstheme="minorEastAsia"/>
                <w:b w:val="0"/>
                <w:bCs w:val="0"/>
                <w:kern w:val="0"/>
                <w:sz w:val="22"/>
              </w:rPr>
              <w:t>——</w:t>
            </w:r>
          </w:p>
        </w:tc>
        <w:tc>
          <w:tcPr>
            <w:tcW w:w="0" w:type="auto"/>
            <w:vAlign w:val="center"/>
          </w:tcPr>
          <w:p>
            <w:pPr>
              <w:widowControl/>
              <w:jc w:val="center"/>
              <w:rPr>
                <w:rFonts w:hint="eastAsia" w:asciiTheme="minorEastAsia" w:hAnsiTheme="minorEastAsia" w:eastAsiaTheme="minorEastAsia" w:cstheme="minorEastAsia"/>
                <w:b w:val="0"/>
                <w:bCs w:val="0"/>
                <w:kern w:val="0"/>
                <w:sz w:val="22"/>
                <w:szCs w:val="24"/>
                <w:lang w:val="en-US" w:eastAsia="zh-CN" w:bidi="ar-SA"/>
              </w:rPr>
            </w:pPr>
            <w:r>
              <w:rPr>
                <w:rFonts w:hint="eastAsia" w:asciiTheme="minorEastAsia" w:hAnsiTheme="minorEastAsia" w:eastAsiaTheme="minorEastAsia" w:cstheme="minorEastAsia"/>
                <w:b w:val="0"/>
                <w:bCs w:val="0"/>
                <w:kern w:val="0"/>
                <w:sz w:val="22"/>
                <w:lang w:val="en-US" w:eastAsia="zh-CN"/>
              </w:rPr>
              <w:t>351.55</w:t>
            </w:r>
          </w:p>
        </w:tc>
      </w:tr>
    </w:tbl>
    <w:p>
      <w:pPr>
        <w:ind w:firstLine="840" w:firstLineChars="40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000000"/>
          <w:sz w:val="21"/>
        </w:rPr>
        <w:t>注</w:t>
      </w:r>
      <w:r>
        <w:rPr>
          <w:rFonts w:hint="eastAsia" w:asciiTheme="minorEastAsia" w:hAnsiTheme="minorEastAsia" w:eastAsiaTheme="minorEastAsia" w:cstheme="minorEastAsia"/>
          <w:b w:val="0"/>
          <w:bCs w:val="0"/>
          <w:color w:val="000000"/>
          <w:sz w:val="28"/>
          <w:szCs w:val="28"/>
        </w:rPr>
        <w:t>：</w:t>
      </w: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lang w:eastAsia="zh-CN"/>
        </w:rPr>
        <w:t>实有车辆</w:t>
      </w:r>
      <w:r>
        <w:rPr>
          <w:rFonts w:hint="eastAsia" w:asciiTheme="minorEastAsia" w:hAnsiTheme="minorEastAsia" w:eastAsiaTheme="minorEastAsia" w:cstheme="minorEastAsia"/>
          <w:b w:val="0"/>
          <w:bCs w:val="0"/>
          <w:color w:val="auto"/>
          <w:sz w:val="28"/>
          <w:szCs w:val="28"/>
          <w:lang w:val="en-US" w:eastAsia="zh-CN"/>
        </w:rPr>
        <w:t>6辆。</w:t>
      </w:r>
    </w:p>
    <w:p>
      <w:pPr>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        </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2、办公用房价值80.84万元计入固定资产。</w:t>
      </w:r>
    </w:p>
    <w:p>
      <w:pPr>
        <w:spacing w:before="10" w:after="10"/>
        <w:outlineLvl w:val="2"/>
        <w:rPr>
          <w:rFonts w:hint="eastAsia" w:asciiTheme="minorEastAsia" w:hAnsiTheme="minorEastAsia" w:eastAsiaTheme="minorEastAsia" w:cstheme="minorEastAsia"/>
          <w:b w:val="0"/>
          <w:bCs w:val="0"/>
          <w:color w:val="000000"/>
          <w:sz w:val="32"/>
        </w:rPr>
      </w:pPr>
    </w:p>
    <w:p>
      <w:pPr>
        <w:spacing w:before="10" w:after="10"/>
        <w:ind w:firstLine="640"/>
        <w:outlineLvl w:val="5"/>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八、名词解释</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1、一般公共预算拨款收入：指</w:t>
      </w:r>
      <w:r>
        <w:rPr>
          <w:rFonts w:hint="eastAsia" w:asciiTheme="minorEastAsia" w:hAnsiTheme="minorEastAsia" w:cstheme="minorEastAsia"/>
          <w:b w:val="0"/>
          <w:bCs w:val="0"/>
          <w:color w:val="000000"/>
          <w:sz w:val="28"/>
          <w:lang w:eastAsia="zh-CN"/>
        </w:rPr>
        <w:t>市</w:t>
      </w:r>
      <w:r>
        <w:rPr>
          <w:rFonts w:hint="eastAsia" w:asciiTheme="minorEastAsia" w:hAnsiTheme="minorEastAsia" w:eastAsiaTheme="minorEastAsia" w:cstheme="minorEastAsia"/>
          <w:b w:val="0"/>
          <w:bCs w:val="0"/>
          <w:color w:val="000000"/>
          <w:sz w:val="28"/>
        </w:rPr>
        <w:t>级财政当年拨付的资金。</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2、事业收入：指事业单位开展专业业务活动及辅助活动所取得的收入。</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3、其他收入：指除“一般公共预算拨款收入”、“事业收入”等以外的收入。主要是按规定动用的租房收入、存款利息收入等。</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4、基本支出：指为保障机构正常运转、完成日常工作任务而发生的人员支出和公用支出。</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5、项目支出：指在基本支出之外为完成特定行政任务和事业发展目标所发生的支出。</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6、上缴上级支出：指下级单位上缴上级的支出。</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7、“三公”经费：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9、上年结转：指以前年度尚未完成、结转到本年仍按原规定用途继续使用的资金。</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10、事业单位经营支出：指事业单位在专业业务活动及其辅助活动之外开展非独立核算经营活动发生的支出。</w:t>
      </w:r>
    </w:p>
    <w:p>
      <w:pPr>
        <w:spacing w:before="10" w:after="10"/>
        <w:ind w:firstLine="640"/>
        <w:outlineLvl w:val="5"/>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九、其他需要说明的事项</w:t>
      </w:r>
    </w:p>
    <w:p>
      <w:pPr>
        <w:spacing w:line="500" w:lineRule="exact"/>
        <w:ind w:firstLine="56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23AFD"/>
    <w:multiLevelType w:val="singleLevel"/>
    <w:tmpl w:val="4C423AFD"/>
    <w:lvl w:ilvl="0" w:tentative="0">
      <w:start w:val="2"/>
      <w:numFmt w:val="chineseCounting"/>
      <w:suff w:val="nothing"/>
      <w:lvlText w:val="%1、"/>
      <w:lvlJc w:val="left"/>
      <w:rPr>
        <w:rFonts w:hint="eastAsia"/>
      </w:rPr>
    </w:lvl>
  </w:abstractNum>
  <w:abstractNum w:abstractNumId="1">
    <w:nsid w:val="58818F2D"/>
    <w:multiLevelType w:val="singleLevel"/>
    <w:tmpl w:val="58818F2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F791A"/>
    <w:rsid w:val="085F3F1C"/>
    <w:rsid w:val="0D8A02B8"/>
    <w:rsid w:val="0DFB15C4"/>
    <w:rsid w:val="12D712AA"/>
    <w:rsid w:val="153215E1"/>
    <w:rsid w:val="224611DE"/>
    <w:rsid w:val="249B772C"/>
    <w:rsid w:val="261F5150"/>
    <w:rsid w:val="271F791A"/>
    <w:rsid w:val="2BCB25B8"/>
    <w:rsid w:val="37E03497"/>
    <w:rsid w:val="437D32BC"/>
    <w:rsid w:val="44254A9A"/>
    <w:rsid w:val="5B031CDB"/>
    <w:rsid w:val="61346564"/>
    <w:rsid w:val="64714EFD"/>
    <w:rsid w:val="66D4684F"/>
    <w:rsid w:val="6A281FBE"/>
    <w:rsid w:val="7A69271C"/>
    <w:rsid w:val="7E533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目录 1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Normal_a89edd8c-2764-4cb3-9920-3c7618fca246"/>
    <w:qFormat/>
    <w:uiPriority w:val="0"/>
    <w:rPr>
      <w:rFonts w:ascii="Times New Roman" w:hAnsi="Times New Roman" w:eastAsia="Times New Roman" w:cs="Times New Roman"/>
      <w:sz w:val="24"/>
      <w:szCs w:val="24"/>
      <w:lang w:val="en-US" w:eastAsia="uk-UA" w:bidi="ar-SA"/>
    </w:rPr>
  </w:style>
  <w:style w:type="paragraph" w:customStyle="1" w:styleId="19">
    <w:name w:val="单元格样式1_30a713d0-19dd-46ef-af72-ef306d606fd9"/>
    <w:basedOn w:val="1"/>
    <w:qFormat/>
    <w:uiPriority w:val="0"/>
    <w:pPr>
      <w:jc w:val="center"/>
    </w:pPr>
    <w:rPr>
      <w:rFonts w:ascii="方正书宋_GBK" w:hAnsi="方正书宋_GBK" w:eastAsia="方正书宋_GBK" w:cs="方正书宋_GBK"/>
      <w:b/>
      <w:sz w:val="21"/>
    </w:rPr>
  </w:style>
  <w:style w:type="paragraph" w:customStyle="1" w:styleId="20">
    <w:name w:val="单元格样式2_c0ded913-423b-4fb6-8c18-a6e739f6bd82"/>
    <w:basedOn w:val="1"/>
    <w:qFormat/>
    <w:uiPriority w:val="0"/>
    <w:rPr>
      <w:rFonts w:ascii="方正书宋_GBK" w:hAnsi="方正书宋_GBK" w:eastAsia="方正书宋_GBK" w:cs="方正书宋_GBK"/>
      <w:sz w:val="21"/>
    </w:rPr>
  </w:style>
  <w:style w:type="paragraph" w:customStyle="1" w:styleId="21">
    <w:name w:val="单元格样式3_f6e68905-c23e-4eec-ad3e-167eb3e79b0d"/>
    <w:basedOn w:val="1"/>
    <w:qFormat/>
    <w:uiPriority w:val="0"/>
    <w:pPr>
      <w:jc w:val="center"/>
    </w:pPr>
    <w:rPr>
      <w:rFonts w:ascii="方正书宋_GBK" w:hAnsi="方正书宋_GBK" w:eastAsia="方正书宋_GBK" w:cs="方正书宋_GBK"/>
      <w:sz w:val="21"/>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2022-02-18T02:40:00Z</dcterms:created>
  <dc:creator>Administrator</dc:creator>
  <cp:lastModifiedBy>Administrator</cp:lastModifiedBy>
  <dcterms:modified xsi:type="dcterms:W3CDTF">2023-07-21T03:16:59Z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C264A5AEA94F43AA9C3C467B66282F8F</vt:lpwstr>
  </property>
</Properties>
</file>