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承德市工业和信息化局</w:t>
      </w:r>
      <w:r>
        <w:rPr>
          <w:rFonts w:ascii="Times New Roman" w:hAnsi="Times New Roman" w:eastAsia="方正小标宋_GBK" w:cs="Times New Roman"/>
          <w:sz w:val="44"/>
          <w:szCs w:val="44"/>
        </w:rPr>
        <w:t>2019</w:t>
      </w:r>
      <w:r>
        <w:rPr>
          <w:rFonts w:hint="eastAsia" w:ascii="Times New Roman" w:hAnsi="Times New Roman" w:eastAsia="方正小标宋_GBK" w:cs="Times New Roman"/>
          <w:sz w:val="44"/>
          <w:szCs w:val="44"/>
        </w:rPr>
        <w:t>年部门预算信息公开</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按照《中华人民共和国预算法》、《地方预决算公开操作规程》和《河北省省级预算公开办法》规定，现将</w:t>
      </w:r>
      <w:r>
        <w:rPr>
          <w:rFonts w:ascii="仿宋" w:hAnsi="仿宋" w:eastAsia="仿宋" w:cs="Times New Roman"/>
          <w:sz w:val="32"/>
          <w:szCs w:val="32"/>
        </w:rPr>
        <w:t>2019</w:t>
      </w:r>
      <w:r>
        <w:rPr>
          <w:rFonts w:hint="eastAsia"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29"/>
        <w:rPr>
          <w:rFonts w:ascii="仿宋" w:hAnsi="仿宋" w:eastAsia="仿宋" w:cs="仿宋"/>
          <w:sz w:val="32"/>
          <w:szCs w:val="32"/>
        </w:rPr>
      </w:pPr>
      <w:r>
        <w:rPr>
          <w:rFonts w:hint="eastAsia" w:ascii="Times New Roman" w:hAnsi="Times New Roman" w:eastAsia="方正仿宋_GBK" w:cs="Times New Roman"/>
          <w:b/>
          <w:sz w:val="32"/>
          <w:szCs w:val="32"/>
        </w:rPr>
        <w:t>部门职责：</w:t>
      </w:r>
      <w:r>
        <w:rPr>
          <w:rFonts w:hint="eastAsia" w:ascii="仿宋" w:hAnsi="仿宋" w:eastAsia="仿宋"/>
          <w:sz w:val="32"/>
          <w:szCs w:val="32"/>
        </w:rPr>
        <w:t>（一）提出全市新型工业化发展战略和政策，协调解决新型工业化进程中的重大问题，拟订并组织实施工业、信息化的发展规划，推进产业结构战略性调整和优化升级，推进信息化和工业化融合。（二）制定并组织实施全市工业行业规划、计划和产业政策，提出优化产业布局、结构的政策建议，推进现代产业体系建设，起草地方性政策规定草案，组织实施行业技术规范和标准，指导行业质量管理工作。（三）监测、分析全市工业运行态势，统计并发布相关信息，进行预测预警和信息引导，协调解决行业运行发展中的有关问题并提出政策建议，负责工业系统的煤、电、油、汽、运等生产要素和电力管理协调工作；负责组织与工业经济运行相关的重要物资的紧急调度和交通运输协调工作；负责工业应急管理、产业安全和国防动员有关工作；负责市医药储备管理的有关工作。（四）负责提出全市工业、信息化固定资产投资规模和方向</w:t>
      </w:r>
      <w:r>
        <w:rPr>
          <w:rFonts w:ascii="仿宋" w:hAnsi="仿宋" w:eastAsia="仿宋"/>
          <w:sz w:val="32"/>
          <w:szCs w:val="32"/>
        </w:rPr>
        <w:t>(</w:t>
      </w:r>
      <w:r>
        <w:rPr>
          <w:rFonts w:hint="eastAsia" w:ascii="仿宋" w:hAnsi="仿宋" w:eastAsia="仿宋"/>
          <w:sz w:val="32"/>
          <w:szCs w:val="32"/>
        </w:rPr>
        <w:t>含利用外资和境外投资</w:t>
      </w:r>
      <w:r>
        <w:rPr>
          <w:rFonts w:ascii="仿宋" w:hAnsi="仿宋" w:eastAsia="仿宋"/>
          <w:sz w:val="32"/>
          <w:szCs w:val="32"/>
        </w:rPr>
        <w:t>)</w:t>
      </w:r>
      <w:r>
        <w:rPr>
          <w:rFonts w:hint="eastAsia" w:ascii="仿宋" w:hAnsi="仿宋" w:eastAsia="仿宋"/>
          <w:sz w:val="32"/>
          <w:szCs w:val="32"/>
        </w:rPr>
        <w:t>，提出国家、省和市财政性建设资金安排的意见，按规定权限审批、核准、备案全市规划内及年度计划规模内固定资产投资项目。（五）贯彻国家政策和标准，拟订高技术产业中涉及生物医药、新材料、信息产业等规划并组织实施；指导行业技术创新和技术进步，以先进适用技术改造提升传统产业；组织实施有关国家、省和市科技重大专项，推进相关产业成果产业化，推动全市软件业、信息服务业和新兴产业发展。（六）承担全市振兴装备制造业的组织协调责任，贯彻执行国家重大技术装备发展和自主创新规划、政策，依托国家、省和市重点工程建设协调有关重大专项的实施，推进重大技术装备国产化，指导引进重大技术装备的消化创新。（七）拟订并组织实施全市工业能源节约和资源综合利用、清洁生产促进政策，参与拟订能源节约和资源综合利用、清洁生产促进规划，组织协调相关重大示范工程和新产品、新技术、新设备、新材料的推广应用。（八）推进全市工业体制改革和管理创新，提高行业综合素质和核心竞争力，指导相关行业加强安全生产管理。（九）统筹推进全市信息化工作，组织拟订相关政策并协调信息化建设中的重大问题，促进电信、广播电视和计算机网络融合，指导协调电子政务发展，推动跨行业、跨部门的互联互通和重要信息资源的开发利用、共享。（十）负责协调维护全市信息安全和信息安全保障体系建设，指导监督政府部门、重点行业重要信息系统与基础信息网络的安全保障工作，协调处理信息安全重大事件，承担跨部门、跨地区和重要时期的信息安全应急协调工作。（十一）统筹协调通信业规划的组织实施；协调全市公用通信网、互联网、专用通信网的建设，促进通信业基础网络资源及相关设施共享；根据上级主管部门或市政府授权对通信业市场、电信与信息服务及质量进行监督管理，保障普遍服务，维护国家和用户利益。（十二）负责贯彻实施国家、省、市有关国防工业战备的法规和政策；提出全市军民结合发展规划，拟订相关政策并组织实施；负责国防战备动员生产线等相关物资的监督和利用，组织协调军品科研生产的重大事项，推进军民结合，增强平战转换能力；负责民爆行业管理、民用爆破器材生产和流通企业的安全监管工作。（十三）</w:t>
      </w:r>
      <w:r>
        <w:rPr>
          <w:rFonts w:hint="eastAsia" w:ascii="仿宋" w:hAnsi="仿宋" w:eastAsia="仿宋"/>
          <w:color w:val="000000"/>
          <w:sz w:val="32"/>
          <w:szCs w:val="32"/>
        </w:rPr>
        <w:t>承担中小企业发展的宏观指导，会同有关方面拟订促进中小企业和民营经济发展的相关政策和措施，推动建立完善服务体系，协调解决中小企业发展中有关问题。</w:t>
      </w:r>
      <w:r>
        <w:rPr>
          <w:rFonts w:hint="eastAsia" w:ascii="仿宋" w:hAnsi="仿宋" w:eastAsia="仿宋"/>
          <w:sz w:val="32"/>
          <w:szCs w:val="32"/>
        </w:rPr>
        <w:t>（十四）开展工业、信息化的对外合作与交流。（十五）承担履行《禁止化学武器公约》的组织协调工作。（十六）按照集体企业条例和有关规定，负责集体工业企业行业管理。（十七）</w:t>
      </w:r>
      <w:r>
        <w:rPr>
          <w:rFonts w:hint="eastAsia" w:ascii="仿宋" w:hAnsi="仿宋" w:eastAsia="仿宋" w:cs="仿宋"/>
          <w:sz w:val="32"/>
          <w:szCs w:val="32"/>
        </w:rPr>
        <w:t>负责组织贯彻实施墙体材料革新管理的法规、规章和国家政策。参与制定或直接制定墙体材料革新管理的地方性法规、规章和规范性文件。编制墙体材料革新的发展规划和年度计划，并组织实施。参与墙体材料革新建设项目的主项审查和竣工验收。负责墙体材料革新工作的宣传、信息交流，专业培训和新技术、新设备的推广。依法征收新型墙体材料专项基金。管理和使用发展新型墙体材料专项基金。协调解决墙体材料革新工作中出现的问题。查处违反墙体材料革新政策、法规的行为。参与新型墙体材料生产企业生产备案，负责全市粘土实心砖生产企业的限产等工作。（十八）</w:t>
      </w:r>
      <w:r>
        <w:rPr>
          <w:rFonts w:hint="eastAsia" w:ascii="仿宋" w:hAnsi="仿宋" w:eastAsia="仿宋"/>
          <w:sz w:val="32"/>
          <w:szCs w:val="32"/>
        </w:rPr>
        <w:t>承办市委、市政府交办的其他事项。</w:t>
      </w:r>
    </w:p>
    <w:p>
      <w:pPr>
        <w:rPr>
          <w:rFonts w:ascii="仿宋" w:hAnsi="仿宋" w:eastAsia="仿宋" w:cs="仿宋"/>
          <w:sz w:val="32"/>
          <w:szCs w:val="32"/>
        </w:rPr>
      </w:pPr>
    </w:p>
    <w:p>
      <w:pPr>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rPr>
          <w:rFonts w:ascii="方正仿宋_GBK" w:hAnsi="Times New Roman" w:eastAsia="方正仿宋_GBK" w:cs="Times New Roman"/>
          <w:b/>
          <w:sz w:val="32"/>
          <w:szCs w:val="32"/>
        </w:rPr>
      </w:pP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8"/>
        <w:tblW w:w="9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9"/>
        <w:gridCol w:w="1142"/>
        <w:gridCol w:w="1285"/>
        <w:gridCol w:w="2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4449"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单位名称</w:t>
            </w:r>
          </w:p>
        </w:tc>
        <w:tc>
          <w:tcPr>
            <w:tcW w:w="1142"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单位性质</w:t>
            </w:r>
          </w:p>
        </w:tc>
        <w:tc>
          <w:tcPr>
            <w:tcW w:w="1285"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单位规格</w:t>
            </w:r>
          </w:p>
        </w:tc>
        <w:tc>
          <w:tcPr>
            <w:tcW w:w="2923" w:type="dxa"/>
            <w:vMerge w:val="restart"/>
            <w:vAlign w:val="center"/>
          </w:tcPr>
          <w:p>
            <w:pPr>
              <w:spacing w:line="300" w:lineRule="exact"/>
              <w:jc w:val="center"/>
              <w:rPr>
                <w:rFonts w:ascii="Times New Roman" w:hAnsi="Times New Roman" w:eastAsia="方正书宋_GBK" w:cs="Times New Roman"/>
                <w:b/>
                <w:szCs w:val="24"/>
              </w:rPr>
            </w:pPr>
            <w:r>
              <w:rPr>
                <w:rFonts w:hint="eastAsia"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4449" w:type="dxa"/>
            <w:vMerge w:val="continue"/>
            <w:vAlign w:val="center"/>
          </w:tcPr>
          <w:p>
            <w:pPr>
              <w:spacing w:line="300" w:lineRule="exact"/>
              <w:jc w:val="left"/>
              <w:outlineLvl w:val="0"/>
              <w:rPr>
                <w:rFonts w:ascii="Times New Roman" w:hAnsi="Times New Roman" w:cs="Times New Roman"/>
                <w:szCs w:val="24"/>
              </w:rPr>
            </w:pPr>
          </w:p>
        </w:tc>
        <w:tc>
          <w:tcPr>
            <w:tcW w:w="1142" w:type="dxa"/>
            <w:vMerge w:val="continue"/>
            <w:vAlign w:val="center"/>
          </w:tcPr>
          <w:p>
            <w:pPr>
              <w:spacing w:line="300" w:lineRule="exact"/>
              <w:jc w:val="left"/>
              <w:outlineLvl w:val="0"/>
              <w:rPr>
                <w:rFonts w:ascii="Times New Roman" w:hAnsi="Times New Roman" w:cs="Times New Roman"/>
                <w:szCs w:val="24"/>
              </w:rPr>
            </w:pPr>
          </w:p>
        </w:tc>
        <w:tc>
          <w:tcPr>
            <w:tcW w:w="1285" w:type="dxa"/>
            <w:vMerge w:val="continue"/>
            <w:vAlign w:val="center"/>
          </w:tcPr>
          <w:p>
            <w:pPr>
              <w:spacing w:line="300" w:lineRule="exact"/>
              <w:jc w:val="left"/>
              <w:outlineLvl w:val="0"/>
              <w:rPr>
                <w:rFonts w:ascii="Times New Roman" w:hAnsi="Times New Roman" w:cs="Times New Roman"/>
                <w:szCs w:val="24"/>
              </w:rPr>
            </w:pPr>
          </w:p>
        </w:tc>
        <w:tc>
          <w:tcPr>
            <w:tcW w:w="2923"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4449"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承德市工业和信息化局</w:t>
            </w:r>
          </w:p>
        </w:tc>
        <w:tc>
          <w:tcPr>
            <w:tcW w:w="114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85"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23"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4449"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承德市墙体材料革新办公室</w:t>
            </w:r>
          </w:p>
        </w:tc>
        <w:tc>
          <w:tcPr>
            <w:tcW w:w="1142"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事业</w:t>
            </w:r>
          </w:p>
        </w:tc>
        <w:tc>
          <w:tcPr>
            <w:tcW w:w="1285"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正科级</w:t>
            </w:r>
          </w:p>
        </w:tc>
        <w:tc>
          <w:tcPr>
            <w:tcW w:w="2923"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eastAsia="zh-CN"/>
              </w:rPr>
              <w:t>财政性资金基本保证</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 w:hAnsi="仿宋" w:eastAsia="仿宋" w:cs="仿宋"/>
          <w:sz w:val="32"/>
          <w:szCs w:val="32"/>
        </w:rPr>
      </w:pPr>
      <w:r>
        <w:rPr>
          <w:rFonts w:hint="eastAsia" w:ascii="仿宋" w:hAnsi="仿宋" w:eastAsia="仿宋" w:cs="仿宋"/>
          <w:sz w:val="32"/>
          <w:szCs w:val="32"/>
        </w:rPr>
        <w:t>按照预算管理有关规定，目前我市部门预算的编制实行综合预算制度，即全部收入和支出都反映在预算中。</w:t>
      </w:r>
    </w:p>
    <w:p>
      <w:pPr>
        <w:ind w:firstLine="640"/>
        <w:rPr>
          <w:rFonts w:ascii="仿宋" w:hAnsi="仿宋" w:eastAsia="仿宋" w:cs="仿宋"/>
          <w:sz w:val="32"/>
          <w:szCs w:val="32"/>
        </w:rPr>
      </w:pPr>
      <w:r>
        <w:rPr>
          <w:rFonts w:hint="eastAsia" w:ascii="仿宋" w:hAnsi="仿宋" w:eastAsia="仿宋" w:cs="仿宋"/>
          <w:sz w:val="32"/>
          <w:szCs w:val="32"/>
        </w:rPr>
        <w:t>以下收入支出为本部门收入支出的汇总</w:t>
      </w:r>
      <w:r>
        <w:rPr>
          <w:rFonts w:ascii="仿宋" w:hAnsi="仿宋" w:eastAsia="仿宋" w:cs="仿宋"/>
          <w:sz w:val="32"/>
          <w:szCs w:val="32"/>
        </w:rPr>
        <w:t>,</w:t>
      </w:r>
      <w:r>
        <w:rPr>
          <w:rFonts w:hint="eastAsia" w:ascii="仿宋" w:hAnsi="仿宋" w:eastAsia="仿宋" w:cs="仿宋"/>
          <w:sz w:val="32"/>
          <w:szCs w:val="32"/>
        </w:rPr>
        <w:t>预算单位包括承德市工业和信息化局</w:t>
      </w:r>
      <w:r>
        <w:rPr>
          <w:rFonts w:hint="eastAsia" w:ascii="仿宋" w:hAnsi="仿宋" w:eastAsia="仿宋" w:cs="仿宋"/>
          <w:sz w:val="32"/>
          <w:szCs w:val="32"/>
          <w:lang w:eastAsia="zh-CN"/>
        </w:rPr>
        <w:t>和承德市墙体材料革新办公室</w:t>
      </w:r>
      <w:r>
        <w:rPr>
          <w:rFonts w:hint="eastAsia" w:ascii="仿宋" w:hAnsi="仿宋" w:eastAsia="仿宋" w:cs="仿宋"/>
          <w:sz w:val="32"/>
          <w:szCs w:val="32"/>
        </w:rPr>
        <w:t>，</w:t>
      </w:r>
      <w:r>
        <w:rPr>
          <w:rFonts w:hint="eastAsia" w:ascii="仿宋" w:hAnsi="仿宋" w:eastAsia="仿宋" w:cs="仿宋"/>
          <w:sz w:val="32"/>
          <w:szCs w:val="32"/>
          <w:lang w:eastAsia="zh-CN"/>
        </w:rPr>
        <w:t>承德市墙体材料革新办公室为</w:t>
      </w:r>
      <w:r>
        <w:rPr>
          <w:rFonts w:hint="eastAsia" w:ascii="仿宋" w:hAnsi="仿宋" w:eastAsia="仿宋" w:cs="仿宋"/>
          <w:sz w:val="32"/>
          <w:szCs w:val="32"/>
        </w:rPr>
        <w:t>下属事业单位不是预算单位，无独立财务管理。</w:t>
      </w:r>
    </w:p>
    <w:p>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、收入说明</w:t>
      </w:r>
    </w:p>
    <w:p>
      <w:pPr>
        <w:ind w:firstLine="640" w:firstLineChars="200"/>
        <w:rPr>
          <w:rFonts w:ascii="仿宋" w:hAnsi="仿宋" w:eastAsia="仿宋" w:cs="Times New Roman"/>
          <w:color w:val="000000"/>
          <w:sz w:val="32"/>
          <w:szCs w:val="32"/>
        </w:rPr>
      </w:pPr>
      <w:r>
        <w:rPr>
          <w:rFonts w:hint="eastAsia" w:ascii="仿宋" w:hAnsi="仿宋" w:eastAsia="仿宋" w:cs="宋体"/>
          <w:color w:val="000000"/>
          <w:sz w:val="32"/>
          <w:szCs w:val="32"/>
        </w:rPr>
        <w:t>反映本部门当年全部收入，</w:t>
      </w:r>
      <w:r>
        <w:rPr>
          <w:rFonts w:ascii="仿宋" w:hAnsi="仿宋" w:eastAsia="仿宋" w:cs="??_GB2312"/>
          <w:color w:val="000000"/>
          <w:sz w:val="32"/>
          <w:szCs w:val="32"/>
        </w:rPr>
        <w:t>2019</w:t>
      </w:r>
      <w:r>
        <w:rPr>
          <w:rFonts w:hint="eastAsia" w:ascii="仿宋" w:hAnsi="仿宋" w:eastAsia="仿宋" w:cs="宋体"/>
          <w:color w:val="000000"/>
          <w:sz w:val="32"/>
          <w:szCs w:val="32"/>
        </w:rPr>
        <w:t>年预算收入</w:t>
      </w:r>
      <w:r>
        <w:rPr>
          <w:rFonts w:ascii="仿宋" w:hAnsi="仿宋" w:eastAsia="仿宋" w:cs="??_GB2312"/>
          <w:color w:val="000000"/>
          <w:sz w:val="32"/>
          <w:szCs w:val="32"/>
        </w:rPr>
        <w:t>3354.60</w:t>
      </w:r>
      <w:r>
        <w:rPr>
          <w:rFonts w:hint="eastAsia" w:ascii="仿宋" w:hAnsi="仿宋" w:eastAsia="仿宋" w:cs="宋体"/>
          <w:color w:val="000000"/>
          <w:sz w:val="32"/>
          <w:szCs w:val="32"/>
        </w:rPr>
        <w:t>万元，其中：非限额补助</w:t>
      </w:r>
      <w:r>
        <w:rPr>
          <w:rFonts w:ascii="仿宋" w:hAnsi="仿宋" w:eastAsia="仿宋" w:cs="??_GB2312"/>
          <w:color w:val="000000"/>
          <w:sz w:val="32"/>
          <w:szCs w:val="32"/>
        </w:rPr>
        <w:t>3354.60</w:t>
      </w:r>
      <w:r>
        <w:rPr>
          <w:rFonts w:hint="eastAsia" w:ascii="仿宋" w:hAnsi="仿宋" w:eastAsia="仿宋" w:cs="宋体"/>
          <w:color w:val="000000"/>
          <w:sz w:val="32"/>
          <w:szCs w:val="32"/>
        </w:rPr>
        <w:t>万元。比</w:t>
      </w:r>
      <w:r>
        <w:rPr>
          <w:rFonts w:ascii="仿宋" w:hAnsi="仿宋" w:eastAsia="仿宋" w:cs="??_GB2312"/>
          <w:color w:val="000000"/>
          <w:sz w:val="32"/>
          <w:szCs w:val="32"/>
        </w:rPr>
        <w:t>2018</w:t>
      </w:r>
      <w:r>
        <w:rPr>
          <w:rFonts w:hint="eastAsia" w:ascii="仿宋" w:hAnsi="仿宋" w:eastAsia="仿宋" w:cs="宋体"/>
          <w:color w:val="000000"/>
          <w:sz w:val="32"/>
          <w:szCs w:val="32"/>
        </w:rPr>
        <w:t>年预算减少</w:t>
      </w:r>
      <w:r>
        <w:rPr>
          <w:rFonts w:ascii="仿宋" w:hAnsi="仿宋" w:eastAsia="仿宋" w:cs="??_GB2312"/>
          <w:color w:val="000000"/>
          <w:sz w:val="32"/>
          <w:szCs w:val="32"/>
        </w:rPr>
        <w:t>40.70</w:t>
      </w:r>
      <w:r>
        <w:rPr>
          <w:rFonts w:hint="eastAsia" w:ascii="仿宋" w:hAnsi="仿宋" w:eastAsia="仿宋" w:cs="宋体"/>
          <w:color w:val="000000"/>
          <w:sz w:val="32"/>
          <w:szCs w:val="32"/>
        </w:rPr>
        <w:t>万元，同比降低</w:t>
      </w:r>
      <w:r>
        <w:rPr>
          <w:rFonts w:ascii="仿宋" w:hAnsi="仿宋" w:eastAsia="仿宋" w:cs="??_GB2312"/>
          <w:color w:val="000000"/>
          <w:sz w:val="32"/>
          <w:szCs w:val="32"/>
        </w:rPr>
        <w:t>1.19%</w:t>
      </w:r>
      <w:r>
        <w:rPr>
          <w:rFonts w:hint="eastAsia" w:ascii="仿宋" w:hAnsi="仿宋" w:eastAsia="仿宋" w:cs="宋体"/>
          <w:color w:val="000000"/>
          <w:sz w:val="32"/>
          <w:szCs w:val="32"/>
        </w:rPr>
        <w:t>。原因为人员增减变动。</w:t>
      </w:r>
    </w:p>
    <w:p>
      <w:pPr>
        <w:numPr>
          <w:ilvl w:val="0"/>
          <w:numId w:val="1"/>
        </w:numPr>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支出说明</w:t>
      </w:r>
    </w:p>
    <w:p>
      <w:pPr>
        <w:ind w:firstLine="640" w:firstLineChars="200"/>
        <w:rPr>
          <w:rFonts w:ascii="仿宋" w:hAnsi="仿宋" w:eastAsia="仿宋" w:cs="??_GB2312"/>
          <w:color w:val="000000"/>
          <w:sz w:val="32"/>
          <w:szCs w:val="32"/>
        </w:rPr>
      </w:pPr>
      <w:r>
        <w:rPr>
          <w:rFonts w:hint="eastAsia" w:ascii="仿宋" w:hAnsi="仿宋" w:eastAsia="仿宋" w:cs="宋体"/>
          <w:color w:val="000000"/>
          <w:sz w:val="32"/>
          <w:szCs w:val="32"/>
        </w:rPr>
        <w:t>收支预算总表支出栏、基本支出表、项目支出表按经济分类和支出功能分类科目编制，反映承德市工业和信息化局年度部门预算中支出预算的总体情况。</w:t>
      </w:r>
      <w:r>
        <w:rPr>
          <w:rFonts w:ascii="仿宋" w:hAnsi="仿宋" w:eastAsia="仿宋" w:cs="??_GB2312"/>
          <w:color w:val="000000"/>
          <w:sz w:val="32"/>
          <w:szCs w:val="32"/>
        </w:rPr>
        <w:t>2019</w:t>
      </w:r>
      <w:r>
        <w:rPr>
          <w:rFonts w:hint="eastAsia" w:ascii="仿宋" w:hAnsi="仿宋" w:eastAsia="仿宋" w:cs="宋体"/>
          <w:color w:val="000000"/>
          <w:sz w:val="32"/>
          <w:szCs w:val="32"/>
        </w:rPr>
        <w:t>年部门支出预算为</w:t>
      </w:r>
      <w:r>
        <w:rPr>
          <w:rFonts w:ascii="仿宋" w:hAnsi="仿宋" w:eastAsia="仿宋" w:cs="??_GB2312"/>
          <w:color w:val="000000"/>
          <w:sz w:val="32"/>
          <w:szCs w:val="32"/>
        </w:rPr>
        <w:t>3354.60</w:t>
      </w:r>
      <w:r>
        <w:rPr>
          <w:rFonts w:hint="eastAsia" w:ascii="仿宋" w:hAnsi="仿宋" w:eastAsia="仿宋" w:cs="宋体"/>
          <w:color w:val="000000"/>
          <w:sz w:val="32"/>
          <w:szCs w:val="32"/>
        </w:rPr>
        <w:t>万元，其中基本支出</w:t>
      </w:r>
      <w:r>
        <w:rPr>
          <w:rFonts w:ascii="仿宋" w:hAnsi="仿宋" w:eastAsia="仿宋" w:cs="??_GB2312"/>
          <w:color w:val="000000"/>
          <w:sz w:val="32"/>
          <w:szCs w:val="32"/>
        </w:rPr>
        <w:t xml:space="preserve">2724.60 </w:t>
      </w:r>
      <w:r>
        <w:rPr>
          <w:rFonts w:hint="eastAsia" w:ascii="仿宋" w:hAnsi="仿宋" w:eastAsia="仿宋" w:cs="宋体"/>
          <w:color w:val="000000"/>
          <w:sz w:val="32"/>
          <w:szCs w:val="32"/>
        </w:rPr>
        <w:t>万元，包括人员经费</w:t>
      </w:r>
      <w:r>
        <w:rPr>
          <w:rFonts w:ascii="仿宋" w:hAnsi="仿宋" w:eastAsia="仿宋" w:cs="??_GB2312"/>
          <w:color w:val="000000"/>
          <w:sz w:val="32"/>
          <w:szCs w:val="32"/>
        </w:rPr>
        <w:t>2504.13</w:t>
      </w:r>
      <w:r>
        <w:rPr>
          <w:rFonts w:hint="eastAsia" w:ascii="仿宋" w:hAnsi="仿宋" w:eastAsia="仿宋" w:cs="宋体"/>
          <w:color w:val="000000"/>
          <w:sz w:val="32"/>
          <w:szCs w:val="32"/>
        </w:rPr>
        <w:t>万元、日常公用经费</w:t>
      </w:r>
      <w:r>
        <w:rPr>
          <w:rFonts w:ascii="仿宋" w:hAnsi="仿宋" w:eastAsia="仿宋" w:cs="??_GB2312"/>
          <w:color w:val="000000"/>
          <w:sz w:val="32"/>
          <w:szCs w:val="32"/>
        </w:rPr>
        <w:t>220.47</w:t>
      </w:r>
      <w:r>
        <w:rPr>
          <w:rFonts w:hint="eastAsia" w:ascii="仿宋" w:hAnsi="仿宋" w:eastAsia="仿宋" w:cs="宋体"/>
          <w:color w:val="000000"/>
          <w:sz w:val="32"/>
          <w:szCs w:val="32"/>
        </w:rPr>
        <w:t>万元；项目支出</w:t>
      </w:r>
      <w:r>
        <w:rPr>
          <w:rFonts w:ascii="仿宋" w:hAnsi="仿宋" w:eastAsia="仿宋" w:cs="??_GB2312"/>
          <w:color w:val="000000"/>
          <w:sz w:val="32"/>
          <w:szCs w:val="32"/>
        </w:rPr>
        <w:t>630.00</w:t>
      </w:r>
      <w:r>
        <w:rPr>
          <w:rFonts w:hint="eastAsia" w:ascii="仿宋" w:hAnsi="仿宋" w:eastAsia="仿宋" w:cs="宋体"/>
          <w:color w:val="000000"/>
          <w:sz w:val="32"/>
          <w:szCs w:val="32"/>
        </w:rPr>
        <w:t>万元，全部为本级支出。比</w:t>
      </w:r>
      <w:r>
        <w:rPr>
          <w:rFonts w:ascii="仿宋" w:hAnsi="仿宋" w:eastAsia="仿宋" w:cs="??_GB2312"/>
          <w:color w:val="000000"/>
          <w:sz w:val="32"/>
          <w:szCs w:val="32"/>
        </w:rPr>
        <w:t>2018</w:t>
      </w:r>
      <w:r>
        <w:rPr>
          <w:rFonts w:hint="eastAsia" w:ascii="仿宋" w:hAnsi="仿宋" w:eastAsia="仿宋" w:cs="宋体"/>
          <w:color w:val="000000"/>
          <w:sz w:val="32"/>
          <w:szCs w:val="32"/>
        </w:rPr>
        <w:t>年预算减少</w:t>
      </w:r>
      <w:r>
        <w:rPr>
          <w:rFonts w:ascii="仿宋" w:hAnsi="仿宋" w:eastAsia="仿宋" w:cs="??_GB2312"/>
          <w:color w:val="000000"/>
          <w:sz w:val="32"/>
          <w:szCs w:val="32"/>
        </w:rPr>
        <w:t>40.70</w:t>
      </w:r>
      <w:r>
        <w:rPr>
          <w:rFonts w:hint="eastAsia" w:ascii="仿宋" w:hAnsi="仿宋" w:eastAsia="仿宋" w:cs="宋体"/>
          <w:color w:val="000000"/>
          <w:sz w:val="32"/>
          <w:szCs w:val="32"/>
        </w:rPr>
        <w:t>万元，同比降低</w:t>
      </w:r>
      <w:r>
        <w:rPr>
          <w:rFonts w:ascii="仿宋" w:hAnsi="仿宋" w:eastAsia="仿宋" w:cs="??_GB2312"/>
          <w:color w:val="000000"/>
          <w:sz w:val="32"/>
          <w:szCs w:val="32"/>
        </w:rPr>
        <w:t>1.19%</w:t>
      </w:r>
      <w:r>
        <w:rPr>
          <w:rFonts w:hint="eastAsia" w:ascii="仿宋" w:hAnsi="仿宋" w:eastAsia="仿宋" w:cs="宋体"/>
          <w:color w:val="000000"/>
          <w:sz w:val="32"/>
          <w:szCs w:val="32"/>
        </w:rPr>
        <w:t>。</w:t>
      </w:r>
    </w:p>
    <w:p>
      <w:pPr>
        <w:numPr>
          <w:ilvl w:val="0"/>
          <w:numId w:val="1"/>
        </w:num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比上年增减情况</w:t>
      </w:r>
    </w:p>
    <w:p>
      <w:pPr>
        <w:ind w:firstLine="480" w:firstLineChars="150"/>
        <w:rPr>
          <w:rFonts w:ascii="仿宋" w:hAnsi="仿宋" w:eastAsia="仿宋" w:cs="??_GB2312"/>
          <w:sz w:val="32"/>
          <w:szCs w:val="32"/>
        </w:rPr>
      </w:pPr>
      <w:r>
        <w:rPr>
          <w:rFonts w:ascii="仿宋" w:hAnsi="仿宋" w:eastAsia="仿宋" w:cs="??_GB2312"/>
          <w:sz w:val="32"/>
          <w:szCs w:val="32"/>
        </w:rPr>
        <w:t>2019</w:t>
      </w:r>
      <w:r>
        <w:rPr>
          <w:rFonts w:hint="eastAsia" w:ascii="仿宋" w:hAnsi="仿宋" w:eastAsia="仿宋" w:cs="宋体"/>
          <w:sz w:val="32"/>
          <w:szCs w:val="32"/>
        </w:rPr>
        <w:t>年部门预算较</w:t>
      </w:r>
      <w:r>
        <w:rPr>
          <w:rFonts w:ascii="仿宋" w:hAnsi="仿宋" w:eastAsia="仿宋" w:cs="??_GB2312"/>
          <w:sz w:val="32"/>
          <w:szCs w:val="32"/>
        </w:rPr>
        <w:t>2018</w:t>
      </w:r>
      <w:r>
        <w:rPr>
          <w:rFonts w:hint="eastAsia" w:ascii="仿宋" w:hAnsi="仿宋" w:eastAsia="仿宋" w:cs="宋体"/>
          <w:sz w:val="32"/>
          <w:szCs w:val="32"/>
        </w:rPr>
        <w:t>年预算减少</w:t>
      </w:r>
      <w:r>
        <w:rPr>
          <w:rFonts w:ascii="仿宋" w:hAnsi="仿宋" w:eastAsia="仿宋" w:cs="??_GB2312"/>
          <w:sz w:val="32"/>
          <w:szCs w:val="32"/>
        </w:rPr>
        <w:t>40.70</w:t>
      </w:r>
      <w:r>
        <w:rPr>
          <w:rFonts w:hint="eastAsia" w:ascii="仿宋" w:hAnsi="仿宋" w:eastAsia="仿宋" w:cs="宋体"/>
          <w:sz w:val="32"/>
          <w:szCs w:val="32"/>
        </w:rPr>
        <w:t>万元，降低</w:t>
      </w:r>
      <w:r>
        <w:rPr>
          <w:rFonts w:ascii="仿宋" w:hAnsi="仿宋" w:eastAsia="仿宋" w:cs="??_GB2312"/>
          <w:sz w:val="32"/>
          <w:szCs w:val="32"/>
        </w:rPr>
        <w:t>1.19%</w:t>
      </w:r>
      <w:r>
        <w:rPr>
          <w:rFonts w:hint="eastAsia" w:ascii="仿宋" w:hAnsi="仿宋" w:eastAsia="仿宋" w:cs="宋体"/>
          <w:sz w:val="32"/>
          <w:szCs w:val="32"/>
        </w:rPr>
        <w:t>。其中：基本支出增加</w:t>
      </w:r>
      <w:r>
        <w:rPr>
          <w:rFonts w:ascii="仿宋" w:hAnsi="仿宋" w:eastAsia="仿宋" w:cs="??_GB2312"/>
          <w:sz w:val="32"/>
          <w:szCs w:val="32"/>
        </w:rPr>
        <w:t xml:space="preserve"> 409.30</w:t>
      </w:r>
      <w:r>
        <w:rPr>
          <w:rFonts w:hint="eastAsia" w:ascii="仿宋" w:hAnsi="仿宋" w:eastAsia="仿宋" w:cs="宋体"/>
          <w:sz w:val="32"/>
          <w:szCs w:val="32"/>
        </w:rPr>
        <w:t>万元，同比增长</w:t>
      </w:r>
      <w:r>
        <w:rPr>
          <w:rFonts w:ascii="仿宋" w:hAnsi="仿宋" w:eastAsia="仿宋" w:cs="??_GB2312"/>
          <w:sz w:val="32"/>
          <w:szCs w:val="32"/>
        </w:rPr>
        <w:t>17.67%</w:t>
      </w:r>
      <w:r>
        <w:rPr>
          <w:rFonts w:hint="eastAsia" w:ascii="仿宋" w:hAnsi="仿宋" w:eastAsia="仿宋" w:cs="宋体"/>
          <w:sz w:val="32"/>
          <w:szCs w:val="32"/>
        </w:rPr>
        <w:t>，原因为增加人员目标绩效奖；项目支出减少</w:t>
      </w:r>
      <w:r>
        <w:rPr>
          <w:rFonts w:ascii="仿宋" w:hAnsi="仿宋" w:eastAsia="仿宋" w:cs="??_GB2312"/>
          <w:sz w:val="32"/>
          <w:szCs w:val="32"/>
        </w:rPr>
        <w:t>450</w:t>
      </w:r>
      <w:r>
        <w:rPr>
          <w:rFonts w:hint="eastAsia" w:ascii="仿宋" w:hAnsi="仿宋" w:eastAsia="仿宋" w:cs="宋体"/>
          <w:sz w:val="32"/>
          <w:szCs w:val="32"/>
        </w:rPr>
        <w:t>万元，降低</w:t>
      </w:r>
      <w:r>
        <w:rPr>
          <w:rFonts w:ascii="仿宋" w:hAnsi="仿宋" w:eastAsia="仿宋" w:cs="??_GB2312"/>
          <w:sz w:val="32"/>
          <w:szCs w:val="32"/>
        </w:rPr>
        <w:t>41.66%</w:t>
      </w:r>
      <w:r>
        <w:rPr>
          <w:rFonts w:hint="eastAsia" w:ascii="仿宋" w:hAnsi="仿宋" w:eastAsia="仿宋" w:cs="宋体"/>
          <w:sz w:val="32"/>
          <w:szCs w:val="32"/>
        </w:rPr>
        <w:t>，原因为云服务平台管理及购买服务费减少。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仿宋" w:hAnsi="仿宋" w:eastAsia="仿宋" w:cs="??_GB2312"/>
          <w:color w:val="000000"/>
          <w:sz w:val="32"/>
          <w:szCs w:val="32"/>
        </w:rPr>
      </w:pPr>
      <w:r>
        <w:rPr>
          <w:rFonts w:hint="eastAsia" w:ascii="仿宋" w:hAnsi="仿宋" w:eastAsia="仿宋" w:cs="宋体"/>
          <w:color w:val="000000"/>
          <w:sz w:val="32"/>
          <w:szCs w:val="32"/>
        </w:rPr>
        <w:t>机关运行经费共计安排</w:t>
      </w:r>
      <w:r>
        <w:rPr>
          <w:rFonts w:ascii="仿宋" w:hAnsi="仿宋" w:eastAsia="仿宋" w:cs="??_GB2312"/>
          <w:color w:val="000000"/>
          <w:sz w:val="32"/>
          <w:szCs w:val="32"/>
        </w:rPr>
        <w:t>220.47</w:t>
      </w:r>
      <w:r>
        <w:rPr>
          <w:rFonts w:hint="eastAsia" w:ascii="仿宋" w:hAnsi="仿宋" w:eastAsia="仿宋" w:cs="宋体"/>
          <w:color w:val="000000"/>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其中：办公费</w:t>
      </w:r>
      <w:r>
        <w:rPr>
          <w:rFonts w:ascii="仿宋" w:hAnsi="仿宋" w:eastAsia="仿宋" w:cs="??_GB2312"/>
          <w:color w:val="000000"/>
          <w:sz w:val="32"/>
          <w:szCs w:val="32"/>
        </w:rPr>
        <w:t>10.00</w:t>
      </w:r>
      <w:r>
        <w:rPr>
          <w:rFonts w:hint="eastAsia" w:ascii="仿宋" w:hAnsi="仿宋" w:eastAsia="仿宋" w:cs="宋体"/>
          <w:color w:val="000000"/>
          <w:sz w:val="32"/>
          <w:szCs w:val="32"/>
        </w:rPr>
        <w:t>万元、邮电费</w:t>
      </w:r>
      <w:r>
        <w:rPr>
          <w:rFonts w:ascii="仿宋" w:hAnsi="仿宋" w:eastAsia="仿宋" w:cs="??_GB2312"/>
          <w:color w:val="000000"/>
          <w:sz w:val="32"/>
          <w:szCs w:val="32"/>
        </w:rPr>
        <w:t>43.64</w:t>
      </w:r>
      <w:r>
        <w:rPr>
          <w:rFonts w:hint="eastAsia" w:ascii="仿宋" w:hAnsi="仿宋" w:eastAsia="仿宋" w:cs="宋体"/>
          <w:color w:val="000000"/>
          <w:sz w:val="32"/>
          <w:szCs w:val="32"/>
        </w:rPr>
        <w:t>万元、差旅费</w:t>
      </w:r>
      <w:r>
        <w:rPr>
          <w:rFonts w:ascii="仿宋" w:hAnsi="仿宋" w:eastAsia="仿宋" w:cs="??_GB2312"/>
          <w:color w:val="000000"/>
          <w:sz w:val="32"/>
          <w:szCs w:val="32"/>
        </w:rPr>
        <w:t>20.34</w:t>
      </w:r>
      <w:r>
        <w:rPr>
          <w:rFonts w:hint="eastAsia" w:ascii="仿宋" w:hAnsi="仿宋" w:eastAsia="仿宋" w:cs="宋体"/>
          <w:color w:val="000000"/>
          <w:sz w:val="32"/>
          <w:szCs w:val="32"/>
        </w:rPr>
        <w:t>万元、因公出国费</w:t>
      </w:r>
      <w:r>
        <w:rPr>
          <w:rFonts w:ascii="仿宋" w:hAnsi="仿宋" w:eastAsia="仿宋" w:cs="??_GB2312"/>
          <w:color w:val="000000"/>
          <w:sz w:val="32"/>
          <w:szCs w:val="32"/>
        </w:rPr>
        <w:t>10.00</w:t>
      </w:r>
      <w:r>
        <w:rPr>
          <w:rFonts w:hint="eastAsia" w:ascii="仿宋" w:hAnsi="仿宋" w:eastAsia="仿宋" w:cs="宋体"/>
          <w:color w:val="000000"/>
          <w:sz w:val="32"/>
          <w:szCs w:val="32"/>
        </w:rPr>
        <w:t>万元、公务接待费</w:t>
      </w:r>
      <w:r>
        <w:rPr>
          <w:rFonts w:ascii="仿宋" w:hAnsi="仿宋" w:eastAsia="仿宋" w:cs="??_GB2312"/>
          <w:color w:val="000000"/>
          <w:sz w:val="32"/>
          <w:szCs w:val="32"/>
        </w:rPr>
        <w:t>1.40</w:t>
      </w:r>
      <w:r>
        <w:rPr>
          <w:rFonts w:hint="eastAsia" w:ascii="仿宋" w:hAnsi="仿宋" w:eastAsia="仿宋" w:cs="宋体"/>
          <w:color w:val="000000"/>
          <w:sz w:val="32"/>
          <w:szCs w:val="32"/>
        </w:rPr>
        <w:t>万元（不含公用经费中</w:t>
      </w:r>
      <w:r>
        <w:rPr>
          <w:rFonts w:ascii="仿宋" w:hAnsi="仿宋" w:eastAsia="仿宋" w:cs="??_GB2312"/>
          <w:color w:val="000000"/>
          <w:sz w:val="32"/>
          <w:szCs w:val="32"/>
        </w:rPr>
        <w:t>4.00</w:t>
      </w:r>
      <w:r>
        <w:rPr>
          <w:rFonts w:hint="eastAsia" w:ascii="仿宋" w:hAnsi="仿宋" w:eastAsia="仿宋" w:cs="宋体"/>
          <w:color w:val="000000"/>
          <w:sz w:val="32"/>
          <w:szCs w:val="32"/>
        </w:rPr>
        <w:t>万元公务接待费）、福利费</w:t>
      </w:r>
      <w:r>
        <w:rPr>
          <w:rFonts w:ascii="仿宋" w:hAnsi="仿宋" w:eastAsia="仿宋" w:cs="??_GB2312"/>
          <w:color w:val="000000"/>
          <w:sz w:val="32"/>
          <w:szCs w:val="32"/>
        </w:rPr>
        <w:t>9.38</w:t>
      </w:r>
      <w:r>
        <w:rPr>
          <w:rFonts w:hint="eastAsia" w:ascii="仿宋" w:hAnsi="仿宋" w:eastAsia="仿宋" w:cs="宋体"/>
          <w:color w:val="000000"/>
          <w:sz w:val="32"/>
          <w:szCs w:val="32"/>
        </w:rPr>
        <w:t>万元、工会经费</w:t>
      </w:r>
      <w:r>
        <w:rPr>
          <w:rFonts w:ascii="仿宋" w:hAnsi="仿宋" w:eastAsia="仿宋" w:cs="??_GB2312"/>
          <w:color w:val="000000"/>
          <w:sz w:val="32"/>
          <w:szCs w:val="32"/>
        </w:rPr>
        <w:t>8.35</w:t>
      </w:r>
      <w:r>
        <w:rPr>
          <w:rFonts w:hint="eastAsia" w:ascii="仿宋" w:hAnsi="仿宋" w:eastAsia="仿宋" w:cs="宋体"/>
          <w:color w:val="000000"/>
          <w:sz w:val="32"/>
          <w:szCs w:val="32"/>
        </w:rPr>
        <w:t>万元、公务用车运行费</w:t>
      </w:r>
      <w:r>
        <w:rPr>
          <w:rFonts w:ascii="仿宋" w:hAnsi="仿宋" w:eastAsia="仿宋" w:cs="??_GB2312"/>
          <w:color w:val="000000"/>
          <w:sz w:val="32"/>
          <w:szCs w:val="32"/>
        </w:rPr>
        <w:t>4.20</w:t>
      </w:r>
      <w:r>
        <w:rPr>
          <w:rFonts w:hint="eastAsia" w:ascii="仿宋" w:hAnsi="仿宋" w:eastAsia="仿宋" w:cs="宋体"/>
          <w:color w:val="000000"/>
          <w:sz w:val="32"/>
          <w:szCs w:val="32"/>
        </w:rPr>
        <w:t>万元（不含公用经费中</w:t>
      </w:r>
      <w:r>
        <w:rPr>
          <w:rFonts w:ascii="仿宋" w:hAnsi="仿宋" w:eastAsia="仿宋" w:cs="??_GB2312"/>
          <w:color w:val="000000"/>
          <w:sz w:val="32"/>
          <w:szCs w:val="32"/>
        </w:rPr>
        <w:t>10.00</w:t>
      </w:r>
      <w:r>
        <w:rPr>
          <w:rFonts w:hint="eastAsia" w:ascii="仿宋" w:hAnsi="仿宋" w:eastAsia="仿宋" w:cs="宋体"/>
          <w:color w:val="000000"/>
          <w:sz w:val="32"/>
          <w:szCs w:val="32"/>
        </w:rPr>
        <w:t>万元公车运行费）、公务交通补贴</w:t>
      </w:r>
      <w:r>
        <w:rPr>
          <w:rFonts w:ascii="仿宋" w:hAnsi="仿宋" w:eastAsia="仿宋" w:cs="??_GB2312"/>
          <w:color w:val="000000"/>
          <w:sz w:val="32"/>
          <w:szCs w:val="32"/>
        </w:rPr>
        <w:t>61.14</w:t>
      </w:r>
      <w:r>
        <w:rPr>
          <w:rFonts w:hint="eastAsia" w:ascii="仿宋" w:hAnsi="仿宋" w:eastAsia="仿宋" w:cs="宋体"/>
          <w:color w:val="000000"/>
          <w:sz w:val="32"/>
          <w:szCs w:val="32"/>
        </w:rPr>
        <w:t>万元、离退休人员公用经费</w:t>
      </w:r>
      <w:r>
        <w:rPr>
          <w:rFonts w:ascii="仿宋" w:hAnsi="仿宋" w:eastAsia="仿宋" w:cs="??_GB2312"/>
          <w:color w:val="000000"/>
          <w:sz w:val="32"/>
          <w:szCs w:val="32"/>
        </w:rPr>
        <w:t>23.11</w:t>
      </w:r>
      <w:r>
        <w:rPr>
          <w:rFonts w:hint="eastAsia" w:ascii="仿宋" w:hAnsi="仿宋" w:eastAsia="仿宋" w:cs="宋体"/>
          <w:color w:val="000000"/>
          <w:sz w:val="32"/>
          <w:szCs w:val="32"/>
        </w:rPr>
        <w:t>万元、离退休人员福利费</w:t>
      </w:r>
      <w:r>
        <w:rPr>
          <w:rFonts w:ascii="仿宋" w:hAnsi="仿宋" w:eastAsia="仿宋" w:cs="??_GB2312"/>
          <w:color w:val="000000"/>
          <w:sz w:val="32"/>
          <w:szCs w:val="32"/>
        </w:rPr>
        <w:t>28.91</w:t>
      </w:r>
      <w:r>
        <w:rPr>
          <w:rFonts w:hint="eastAsia" w:ascii="仿宋" w:hAnsi="仿宋" w:eastAsia="仿宋" w:cs="宋体"/>
          <w:color w:val="000000"/>
          <w:sz w:val="32"/>
          <w:szCs w:val="32"/>
        </w:rPr>
        <w:t>万元。较上年公开数据减少</w:t>
      </w:r>
      <w:r>
        <w:rPr>
          <w:rFonts w:ascii="仿宋" w:hAnsi="仿宋" w:eastAsia="仿宋" w:cs="??_GB2312"/>
          <w:color w:val="000000"/>
          <w:sz w:val="32"/>
          <w:szCs w:val="32"/>
        </w:rPr>
        <w:t>4.94</w:t>
      </w:r>
      <w:r>
        <w:rPr>
          <w:rFonts w:hint="eastAsia" w:ascii="仿宋" w:hAnsi="仿宋" w:eastAsia="仿宋" w:cs="宋体"/>
          <w:color w:val="000000"/>
          <w:sz w:val="32"/>
          <w:szCs w:val="32"/>
        </w:rPr>
        <w:t>万元，同比降低</w:t>
      </w:r>
      <w:r>
        <w:rPr>
          <w:rFonts w:ascii="仿宋" w:hAnsi="仿宋" w:eastAsia="仿宋" w:cs="??_GB2312"/>
          <w:color w:val="000000"/>
          <w:sz w:val="32"/>
          <w:szCs w:val="32"/>
        </w:rPr>
        <w:t>2.19%</w:t>
      </w:r>
      <w:r>
        <w:rPr>
          <w:rFonts w:hint="eastAsia" w:ascii="仿宋" w:hAnsi="仿宋" w:eastAsia="仿宋" w:cs="宋体"/>
          <w:color w:val="000000"/>
          <w:sz w:val="32"/>
          <w:szCs w:val="32"/>
        </w:rPr>
        <w:t>。减少原因为人员增减变动造成数据减少。</w:t>
      </w:r>
    </w:p>
    <w:p>
      <w:pPr>
        <w:autoSpaceDE w:val="0"/>
        <w:autoSpaceDN w:val="0"/>
        <w:adjustRightInd w:val="0"/>
        <w:ind w:left="198" w:firstLine="640" w:firstLineChars="200"/>
        <w:jc w:val="left"/>
        <w:rPr>
          <w:rFonts w:ascii="黑体" w:hAnsi="黑体" w:eastAsia="黑体" w:cs="Times New Roman"/>
          <w:color w:val="000000"/>
          <w:sz w:val="32"/>
          <w:szCs w:val="32"/>
        </w:rPr>
      </w:pPr>
      <w:r>
        <w:rPr>
          <w:rFonts w:hint="eastAsia" w:ascii="黑体" w:hAnsi="黑体" w:eastAsia="黑体" w:cs="Times New Roman"/>
          <w:color w:val="000000"/>
          <w:sz w:val="32"/>
          <w:szCs w:val="32"/>
        </w:rPr>
        <w:t>四、财政拨款“三公”经费预算情况及增减变化原因</w:t>
      </w:r>
    </w:p>
    <w:p>
      <w:pPr>
        <w:autoSpaceDE w:val="0"/>
        <w:autoSpaceDN w:val="0"/>
        <w:adjustRightInd w:val="0"/>
        <w:ind w:left="198" w:firstLine="640" w:firstLineChars="200"/>
        <w:jc w:val="left"/>
        <w:rPr>
          <w:rFonts w:hint="eastAsia" w:ascii="仿宋" w:hAnsi="仿宋" w:eastAsia="仿宋" w:cs="宋体"/>
          <w:color w:val="000000"/>
          <w:sz w:val="32"/>
          <w:szCs w:val="32"/>
        </w:rPr>
      </w:pPr>
      <w:r>
        <w:rPr>
          <w:rFonts w:ascii="仿宋" w:hAnsi="仿宋" w:eastAsia="仿宋" w:cs="??_GB2312"/>
          <w:color w:val="000000"/>
          <w:sz w:val="32"/>
          <w:szCs w:val="32"/>
        </w:rPr>
        <w:t>2019</w:t>
      </w:r>
      <w:r>
        <w:rPr>
          <w:rFonts w:hint="eastAsia" w:ascii="仿宋" w:hAnsi="仿宋" w:eastAsia="仿宋" w:cs="宋体"/>
          <w:color w:val="000000"/>
          <w:sz w:val="32"/>
          <w:szCs w:val="32"/>
        </w:rPr>
        <w:t>年，财政拨款</w:t>
      </w:r>
      <w:r>
        <w:rPr>
          <w:rFonts w:ascii="仿宋" w:hAnsi="仿宋" w:eastAsia="仿宋" w:cs="??_GB2312"/>
          <w:color w:val="000000"/>
          <w:sz w:val="32"/>
          <w:szCs w:val="32"/>
        </w:rPr>
        <w:t>“</w:t>
      </w:r>
      <w:r>
        <w:rPr>
          <w:rFonts w:hint="eastAsia" w:ascii="仿宋" w:hAnsi="仿宋" w:eastAsia="仿宋" w:cs="宋体"/>
          <w:color w:val="000000"/>
          <w:sz w:val="32"/>
          <w:szCs w:val="32"/>
        </w:rPr>
        <w:t>三公</w:t>
      </w:r>
      <w:r>
        <w:rPr>
          <w:rFonts w:ascii="仿宋" w:hAnsi="仿宋" w:eastAsia="仿宋" w:cs="??_GB2312"/>
          <w:color w:val="000000"/>
          <w:sz w:val="32"/>
          <w:szCs w:val="32"/>
        </w:rPr>
        <w:t>”</w:t>
      </w:r>
      <w:r>
        <w:rPr>
          <w:rFonts w:hint="eastAsia" w:ascii="仿宋" w:hAnsi="仿宋" w:eastAsia="仿宋" w:cs="宋体"/>
          <w:color w:val="000000"/>
          <w:sz w:val="32"/>
          <w:szCs w:val="32"/>
        </w:rPr>
        <w:t>经费预算安排</w:t>
      </w:r>
      <w:r>
        <w:rPr>
          <w:rFonts w:ascii="仿宋" w:hAnsi="仿宋" w:eastAsia="仿宋" w:cs="??_GB2312"/>
          <w:color w:val="000000"/>
          <w:sz w:val="32"/>
          <w:szCs w:val="32"/>
        </w:rPr>
        <w:t>29.60</w:t>
      </w:r>
      <w:r>
        <w:rPr>
          <w:rFonts w:hint="eastAsia" w:ascii="仿宋" w:hAnsi="仿宋" w:eastAsia="仿宋" w:cs="宋体"/>
          <w:color w:val="000000"/>
          <w:sz w:val="32"/>
          <w:szCs w:val="32"/>
        </w:rPr>
        <w:t>万元，其中：因公出国（境）费</w:t>
      </w:r>
      <w:r>
        <w:rPr>
          <w:rFonts w:ascii="仿宋" w:hAnsi="仿宋" w:eastAsia="仿宋" w:cs="??_GB2312"/>
          <w:color w:val="000000"/>
          <w:sz w:val="32"/>
          <w:szCs w:val="32"/>
        </w:rPr>
        <w:t>10.00</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，与上年预算持平</w:t>
      </w:r>
      <w:r>
        <w:rPr>
          <w:rFonts w:hint="eastAsia" w:ascii="仿宋" w:hAnsi="仿宋" w:eastAsia="仿宋" w:cs="宋体"/>
          <w:color w:val="000000"/>
          <w:sz w:val="32"/>
          <w:szCs w:val="32"/>
        </w:rPr>
        <w:t>；公务用车购置及运维费</w:t>
      </w:r>
      <w:r>
        <w:rPr>
          <w:rFonts w:ascii="仿宋" w:hAnsi="仿宋" w:eastAsia="仿宋" w:cs="??_GB2312"/>
          <w:color w:val="000000"/>
          <w:sz w:val="32"/>
          <w:szCs w:val="32"/>
        </w:rPr>
        <w:t>14.20</w:t>
      </w:r>
      <w:r>
        <w:rPr>
          <w:rFonts w:hint="eastAsia" w:ascii="仿宋" w:hAnsi="仿宋" w:eastAsia="仿宋" w:cs="宋体"/>
          <w:color w:val="000000"/>
          <w:sz w:val="32"/>
          <w:szCs w:val="32"/>
        </w:rPr>
        <w:t>万元（其中：公务用车运行费</w:t>
      </w:r>
      <w:r>
        <w:rPr>
          <w:rFonts w:ascii="仿宋" w:hAnsi="仿宋" w:eastAsia="仿宋" w:cs="??_GB2312"/>
          <w:color w:val="000000"/>
          <w:sz w:val="32"/>
          <w:szCs w:val="32"/>
        </w:rPr>
        <w:t>14.20</w:t>
      </w:r>
      <w:r>
        <w:rPr>
          <w:rFonts w:hint="eastAsia" w:ascii="仿宋" w:hAnsi="仿宋" w:eastAsia="仿宋" w:cs="宋体"/>
          <w:color w:val="000000"/>
          <w:sz w:val="32"/>
          <w:szCs w:val="32"/>
        </w:rPr>
        <w:t>万元</w:t>
      </w:r>
      <w:r>
        <w:rPr>
          <w:rFonts w:ascii="仿宋" w:hAnsi="仿宋" w:eastAsia="仿宋" w:cs="??_GB2312"/>
          <w:color w:val="000000"/>
          <w:sz w:val="32"/>
          <w:szCs w:val="32"/>
        </w:rPr>
        <w:t>)</w:t>
      </w:r>
      <w:r>
        <w:rPr>
          <w:rFonts w:hint="eastAsia" w:ascii="仿宋" w:hAnsi="仿宋" w:eastAsia="仿宋" w:cs="??_GB2312"/>
          <w:color w:val="000000"/>
          <w:sz w:val="32"/>
          <w:szCs w:val="32"/>
          <w:lang w:eastAsia="zh-CN"/>
        </w:rPr>
        <w:t>，比上年预算增加</w:t>
      </w:r>
      <w:r>
        <w:rPr>
          <w:rFonts w:hint="eastAsia" w:ascii="仿宋" w:hAnsi="仿宋" w:eastAsia="仿宋" w:cs="??_GB2312"/>
          <w:color w:val="000000"/>
          <w:sz w:val="32"/>
          <w:szCs w:val="32"/>
          <w:lang w:val="en-US" w:eastAsia="zh-CN"/>
        </w:rPr>
        <w:t>5.00万元，同比增长54.34%，原因为本年外出调研出差任务增多，预算增加</w:t>
      </w:r>
      <w:r>
        <w:rPr>
          <w:rFonts w:hint="eastAsia" w:ascii="仿宋" w:hAnsi="仿宋" w:eastAsia="仿宋" w:cs="宋体"/>
          <w:color w:val="000000"/>
          <w:sz w:val="32"/>
          <w:szCs w:val="32"/>
        </w:rPr>
        <w:t>；公务接待费</w:t>
      </w:r>
      <w:r>
        <w:rPr>
          <w:rFonts w:ascii="仿宋" w:hAnsi="仿宋" w:eastAsia="仿宋" w:cs="??_GB2312"/>
          <w:color w:val="000000"/>
          <w:sz w:val="32"/>
          <w:szCs w:val="32"/>
        </w:rPr>
        <w:t>5.40</w:t>
      </w:r>
      <w:r>
        <w:rPr>
          <w:rFonts w:hint="eastAsia" w:ascii="仿宋" w:hAnsi="仿宋" w:eastAsia="仿宋" w:cs="宋体"/>
          <w:color w:val="000000"/>
          <w:sz w:val="32"/>
          <w:szCs w:val="32"/>
        </w:rPr>
        <w:t>万元</w:t>
      </w:r>
      <w:r>
        <w:rPr>
          <w:rFonts w:hint="eastAsia" w:ascii="仿宋" w:hAnsi="仿宋" w:eastAsia="仿宋" w:cs="宋体"/>
          <w:color w:val="000000"/>
          <w:sz w:val="32"/>
          <w:szCs w:val="32"/>
          <w:lang w:eastAsia="zh-CN"/>
        </w:rPr>
        <w:t>，比上年预算减少</w:t>
      </w:r>
      <w:r>
        <w:rPr>
          <w:rFonts w:hint="eastAsia" w:ascii="仿宋" w:hAnsi="仿宋" w:eastAsia="仿宋" w:cs="宋体"/>
          <w:color w:val="000000"/>
          <w:sz w:val="32"/>
          <w:szCs w:val="32"/>
          <w:lang w:val="en-US" w:eastAsia="zh-CN"/>
        </w:rPr>
        <w:t>6.04万元，同比降低52.79%，原因为减少接待，降低支出</w:t>
      </w:r>
      <w:r>
        <w:rPr>
          <w:rFonts w:hint="eastAsia" w:ascii="仿宋" w:hAnsi="仿宋" w:eastAsia="仿宋" w:cs="宋体"/>
          <w:color w:val="000000"/>
          <w:sz w:val="32"/>
          <w:szCs w:val="32"/>
        </w:rPr>
        <w:t>。</w:t>
      </w:r>
      <w:r>
        <w:rPr>
          <w:rFonts w:ascii="仿宋" w:hAnsi="仿宋" w:eastAsia="仿宋" w:cs="??_GB2312"/>
          <w:color w:val="000000"/>
          <w:sz w:val="32"/>
          <w:szCs w:val="32"/>
        </w:rPr>
        <w:t>“</w:t>
      </w:r>
      <w:r>
        <w:rPr>
          <w:rFonts w:hint="eastAsia" w:ascii="仿宋" w:hAnsi="仿宋" w:eastAsia="仿宋" w:cs="宋体"/>
          <w:color w:val="000000"/>
          <w:sz w:val="32"/>
          <w:szCs w:val="32"/>
        </w:rPr>
        <w:t>三公</w:t>
      </w:r>
      <w:r>
        <w:rPr>
          <w:rFonts w:ascii="仿宋" w:hAnsi="仿宋" w:eastAsia="仿宋" w:cs="??_GB2312"/>
          <w:color w:val="000000"/>
          <w:sz w:val="32"/>
          <w:szCs w:val="32"/>
        </w:rPr>
        <w:t>”</w:t>
      </w:r>
      <w:r>
        <w:rPr>
          <w:rFonts w:hint="eastAsia" w:ascii="仿宋" w:hAnsi="仿宋" w:eastAsia="仿宋" w:cs="宋体"/>
          <w:color w:val="000000"/>
          <w:sz w:val="32"/>
          <w:szCs w:val="32"/>
        </w:rPr>
        <w:t>经费</w:t>
      </w:r>
      <w:r>
        <w:rPr>
          <w:rFonts w:hint="eastAsia" w:ascii="仿宋" w:hAnsi="仿宋" w:eastAsia="仿宋" w:cs="宋体"/>
          <w:color w:val="000000"/>
          <w:sz w:val="32"/>
          <w:szCs w:val="32"/>
          <w:lang w:eastAsia="zh-CN"/>
        </w:rPr>
        <w:t>合计</w:t>
      </w:r>
      <w:r>
        <w:rPr>
          <w:rFonts w:hint="eastAsia" w:ascii="仿宋" w:hAnsi="仿宋" w:eastAsia="仿宋" w:cs="宋体"/>
          <w:color w:val="000000"/>
          <w:sz w:val="32"/>
          <w:szCs w:val="32"/>
        </w:rPr>
        <w:t>比上年预算减少</w:t>
      </w:r>
      <w:r>
        <w:rPr>
          <w:rFonts w:ascii="仿宋" w:hAnsi="仿宋" w:eastAsia="仿宋" w:cs="??_GB2312"/>
          <w:color w:val="000000"/>
          <w:sz w:val="32"/>
          <w:szCs w:val="32"/>
        </w:rPr>
        <w:t>1.04</w:t>
      </w:r>
      <w:r>
        <w:rPr>
          <w:rFonts w:hint="eastAsia" w:ascii="仿宋" w:hAnsi="仿宋" w:eastAsia="仿宋" w:cs="宋体"/>
          <w:color w:val="000000"/>
          <w:sz w:val="32"/>
          <w:szCs w:val="32"/>
        </w:rPr>
        <w:t>万元，同比降低</w:t>
      </w:r>
      <w:r>
        <w:rPr>
          <w:rFonts w:ascii="仿宋" w:hAnsi="仿宋" w:eastAsia="仿宋" w:cs="??_GB2312"/>
          <w:color w:val="000000"/>
          <w:sz w:val="32"/>
          <w:szCs w:val="32"/>
        </w:rPr>
        <w:t>3.39%</w:t>
      </w:r>
      <w:r>
        <w:rPr>
          <w:rFonts w:hint="eastAsia" w:ascii="仿宋" w:hAnsi="仿宋" w:eastAsia="仿宋" w:cs="宋体"/>
          <w:color w:val="000000"/>
          <w:sz w:val="32"/>
          <w:szCs w:val="32"/>
        </w:rPr>
        <w:t>。原因为公车运行预算费用增加，公务接待预算费用减少，三公经费总体减少。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964" w:firstLineChars="300"/>
        <w:jc w:val="left"/>
        <w:rPr>
          <w:rFonts w:ascii="仿宋" w:hAnsi="仿宋" w:eastAsia="仿宋" w:cs="仿宋"/>
          <w:b/>
          <w:color w:val="000000"/>
          <w:sz w:val="32"/>
          <w:szCs w:val="32"/>
        </w:rPr>
      </w:pPr>
      <w:bookmarkStart w:id="0" w:name="_Toc471398463"/>
      <w:r>
        <w:rPr>
          <w:rFonts w:hint="eastAsia" w:ascii="仿宋" w:hAnsi="仿宋" w:eastAsia="仿宋" w:cs="仿宋"/>
          <w:b/>
          <w:color w:val="000000"/>
          <w:sz w:val="32"/>
          <w:szCs w:val="32"/>
        </w:rPr>
        <w:t>总体绩效目标：</w:t>
      </w:r>
    </w:p>
    <w:p>
      <w:pPr>
        <w:spacing w:line="500" w:lineRule="exact"/>
        <w:ind w:firstLine="960" w:firstLineChars="300"/>
        <w:rPr>
          <w:rFonts w:ascii="仿宋" w:hAnsi="仿宋" w:eastAsia="仿宋" w:cs="仿宋"/>
          <w:color w:val="000000"/>
          <w:sz w:val="32"/>
          <w:szCs w:val="32"/>
        </w:rPr>
      </w:pPr>
      <w:r>
        <w:rPr>
          <w:rFonts w:hint="eastAsia" w:ascii="仿宋" w:hAnsi="仿宋" w:eastAsia="仿宋" w:cs="仿宋"/>
          <w:color w:val="000000"/>
          <w:sz w:val="32"/>
          <w:szCs w:val="32"/>
        </w:rPr>
        <w:t>年度发展目标：</w:t>
      </w:r>
      <w:r>
        <w:rPr>
          <w:rFonts w:ascii="仿宋" w:hAnsi="仿宋" w:eastAsia="仿宋" w:cs="仿宋"/>
          <w:color w:val="000000"/>
          <w:sz w:val="32"/>
          <w:szCs w:val="32"/>
        </w:rPr>
        <w:t>2019</w:t>
      </w:r>
      <w:r>
        <w:rPr>
          <w:rFonts w:hint="eastAsia" w:ascii="仿宋" w:hAnsi="仿宋" w:eastAsia="仿宋" w:cs="仿宋"/>
          <w:color w:val="000000"/>
          <w:sz w:val="32"/>
          <w:szCs w:val="32"/>
        </w:rPr>
        <w:t>年规上工业增加值增长</w:t>
      </w:r>
      <w:r>
        <w:rPr>
          <w:rFonts w:ascii="仿宋" w:hAnsi="仿宋" w:eastAsia="仿宋" w:cs="仿宋"/>
          <w:color w:val="000000"/>
          <w:sz w:val="32"/>
          <w:szCs w:val="32"/>
        </w:rPr>
        <w:t>5%</w:t>
      </w:r>
      <w:r>
        <w:rPr>
          <w:rFonts w:hint="eastAsia" w:ascii="仿宋" w:hAnsi="仿宋" w:eastAsia="仿宋" w:cs="仿宋"/>
          <w:color w:val="000000"/>
          <w:sz w:val="32"/>
          <w:szCs w:val="32"/>
        </w:rPr>
        <w:t>，新增规上企业</w:t>
      </w:r>
    </w:p>
    <w:p>
      <w:pPr>
        <w:spacing w:line="500" w:lineRule="exact"/>
        <w:ind w:firstLine="320" w:firstLineChars="100"/>
        <w:rPr>
          <w:rFonts w:ascii="仿宋" w:hAnsi="仿宋" w:eastAsia="仿宋" w:cs="仿宋"/>
          <w:color w:val="000000"/>
          <w:sz w:val="32"/>
          <w:szCs w:val="32"/>
        </w:rPr>
      </w:pPr>
      <w:r>
        <w:rPr>
          <w:rFonts w:ascii="仿宋" w:hAnsi="仿宋" w:eastAsia="仿宋" w:cs="仿宋"/>
          <w:color w:val="000000"/>
          <w:sz w:val="32"/>
          <w:szCs w:val="32"/>
        </w:rPr>
        <w:t>30</w:t>
      </w:r>
      <w:r>
        <w:rPr>
          <w:rFonts w:hint="eastAsia" w:ascii="仿宋" w:hAnsi="仿宋" w:eastAsia="仿宋" w:cs="仿宋"/>
          <w:color w:val="000000"/>
          <w:sz w:val="32"/>
          <w:szCs w:val="32"/>
        </w:rPr>
        <w:t>家，技改投资增速达到</w:t>
      </w:r>
      <w:r>
        <w:rPr>
          <w:rFonts w:ascii="仿宋" w:hAnsi="仿宋" w:eastAsia="仿宋" w:cs="仿宋"/>
          <w:color w:val="000000"/>
          <w:sz w:val="32"/>
          <w:szCs w:val="32"/>
        </w:rPr>
        <w:t>2.5%,</w:t>
      </w:r>
      <w:r>
        <w:rPr>
          <w:rFonts w:hint="eastAsia" w:ascii="仿宋" w:hAnsi="仿宋" w:eastAsia="仿宋" w:cs="仿宋"/>
          <w:color w:val="000000"/>
          <w:sz w:val="32"/>
          <w:szCs w:val="32"/>
        </w:rPr>
        <w:t>民营经济增加值增长</w:t>
      </w:r>
      <w:r>
        <w:rPr>
          <w:rFonts w:ascii="仿宋" w:hAnsi="仿宋" w:eastAsia="仿宋" w:cs="仿宋"/>
          <w:color w:val="000000"/>
          <w:sz w:val="32"/>
          <w:szCs w:val="32"/>
        </w:rPr>
        <w:t>6%</w:t>
      </w:r>
      <w:r>
        <w:rPr>
          <w:rFonts w:hint="eastAsia" w:ascii="仿宋" w:hAnsi="仿宋" w:eastAsia="仿宋" w:cs="仿宋"/>
          <w:color w:val="000000"/>
          <w:sz w:val="32"/>
          <w:szCs w:val="32"/>
        </w:rPr>
        <w:t>以上。</w:t>
      </w:r>
    </w:p>
    <w:p>
      <w:pPr>
        <w:ind w:firstLine="560"/>
        <w:jc w:val="left"/>
        <w:rPr>
          <w:rFonts w:ascii="仿宋" w:hAnsi="仿宋" w:eastAsia="仿宋" w:cs="仿宋"/>
          <w:b/>
          <w:color w:val="000000"/>
          <w:sz w:val="32"/>
          <w:szCs w:val="32"/>
        </w:rPr>
      </w:pPr>
      <w:r>
        <w:rPr>
          <w:rFonts w:hint="eastAsia" w:ascii="仿宋" w:hAnsi="仿宋" w:eastAsia="仿宋" w:cs="仿宋"/>
          <w:b/>
          <w:color w:val="000000"/>
          <w:sz w:val="32"/>
          <w:szCs w:val="32"/>
        </w:rPr>
        <w:t>（一）职责分类绩效目标：</w:t>
      </w:r>
    </w:p>
    <w:p>
      <w:pPr>
        <w:spacing w:line="500" w:lineRule="exact"/>
        <w:ind w:firstLine="560"/>
        <w:rPr>
          <w:rFonts w:ascii="仿宋" w:hAnsi="仿宋" w:eastAsia="仿宋" w:cs="仿宋"/>
          <w:color w:val="000000"/>
          <w:sz w:val="32"/>
          <w:szCs w:val="32"/>
        </w:rPr>
      </w:pPr>
      <w:r>
        <w:rPr>
          <w:rFonts w:hint="eastAsia" w:ascii="仿宋" w:hAnsi="仿宋" w:eastAsia="仿宋" w:cs="仿宋"/>
          <w:color w:val="000000"/>
          <w:sz w:val="32"/>
          <w:szCs w:val="32"/>
        </w:rPr>
        <w:t>促进工业转型升级即绩效目标：改造提升全市传统产业水平，调整产业结构，转变经济发展方式。提升全市产业信息化水平，增强企业综合竞争力。建立完善对标体系，逐步缩小与国内外同行业先进水平的差距。促进工业企业军民融合的深度发展。推动工业企业节能降耗减排，提升资源综合利用，促进绿色循环低碳发展。</w:t>
      </w:r>
    </w:p>
    <w:p>
      <w:pPr>
        <w:spacing w:line="500" w:lineRule="exact"/>
        <w:ind w:firstLine="560"/>
        <w:rPr>
          <w:rFonts w:ascii="仿宋" w:hAnsi="仿宋" w:eastAsia="仿宋" w:cs="仿宋"/>
          <w:color w:val="000000"/>
          <w:sz w:val="32"/>
          <w:szCs w:val="32"/>
        </w:rPr>
      </w:pPr>
      <w:r>
        <w:rPr>
          <w:rFonts w:hint="eastAsia" w:ascii="仿宋" w:hAnsi="仿宋" w:eastAsia="仿宋" w:cs="仿宋"/>
          <w:color w:val="000000"/>
          <w:sz w:val="32"/>
          <w:szCs w:val="32"/>
        </w:rPr>
        <w:t>推进全市信息化建设与应用目标：加强企业工控系统信息安全建设，提升工控系统信息安全保障能力和安全防护能力，确保企业工控系统信息安全。</w:t>
      </w:r>
    </w:p>
    <w:p>
      <w:pPr>
        <w:spacing w:line="500" w:lineRule="exact"/>
        <w:ind w:firstLine="560"/>
        <w:rPr>
          <w:rFonts w:ascii="仿宋" w:hAnsi="仿宋" w:eastAsia="仿宋" w:cs="仿宋"/>
          <w:color w:val="000000"/>
          <w:sz w:val="32"/>
          <w:szCs w:val="32"/>
        </w:rPr>
      </w:pPr>
      <w:r>
        <w:rPr>
          <w:rFonts w:hint="eastAsia" w:ascii="仿宋" w:hAnsi="仿宋" w:eastAsia="仿宋" w:cs="仿宋"/>
          <w:color w:val="000000"/>
          <w:sz w:val="32"/>
          <w:szCs w:val="32"/>
        </w:rPr>
        <w:t>开展医药储备工作目标：切实完成医药储备任务。</w:t>
      </w:r>
    </w:p>
    <w:p>
      <w:pPr>
        <w:spacing w:line="500" w:lineRule="exact"/>
        <w:ind w:firstLine="560"/>
        <w:rPr>
          <w:rFonts w:ascii="仿宋" w:hAnsi="仿宋" w:eastAsia="仿宋" w:cs="仿宋"/>
          <w:color w:val="000000"/>
          <w:sz w:val="32"/>
          <w:szCs w:val="32"/>
        </w:rPr>
      </w:pPr>
      <w:r>
        <w:rPr>
          <w:rFonts w:hint="eastAsia" w:ascii="仿宋" w:hAnsi="仿宋" w:eastAsia="仿宋" w:cs="仿宋"/>
          <w:color w:val="000000"/>
          <w:sz w:val="32"/>
          <w:szCs w:val="32"/>
        </w:rPr>
        <w:t>促进中小企业和民营经济发展目标：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建立健全民营经济运行统计和监测分析体系，促进中小企业、民营经济健康发展。提升公共服务体系建设水平</w:t>
      </w:r>
    </w:p>
    <w:p>
      <w:pPr>
        <w:spacing w:line="500" w:lineRule="exact"/>
        <w:ind w:firstLine="560"/>
        <w:rPr>
          <w:rFonts w:ascii="仿宋" w:hAnsi="仿宋" w:eastAsia="仿宋" w:cs="仿宋"/>
          <w:color w:val="000000"/>
          <w:sz w:val="32"/>
          <w:szCs w:val="32"/>
        </w:rPr>
      </w:pPr>
      <w:r>
        <w:rPr>
          <w:rFonts w:hint="eastAsia" w:ascii="仿宋" w:hAnsi="仿宋" w:eastAsia="仿宋" w:cs="仿宋"/>
          <w:bCs/>
          <w:color w:val="000000"/>
          <w:sz w:val="32"/>
          <w:szCs w:val="32"/>
        </w:rPr>
        <w:t>工信政务管理目标：</w:t>
      </w:r>
      <w:r>
        <w:rPr>
          <w:rFonts w:hint="eastAsia" w:ascii="仿宋" w:hAnsi="仿宋" w:eastAsia="仿宋" w:cs="仿宋"/>
          <w:color w:val="000000"/>
          <w:sz w:val="32"/>
          <w:szCs w:val="32"/>
        </w:rPr>
        <w:t>提升工业和信息化综合事务管理水平。</w:t>
      </w:r>
    </w:p>
    <w:p>
      <w:pPr>
        <w:jc w:val="left"/>
        <w:rPr>
          <w:rFonts w:ascii="仿宋" w:hAnsi="仿宋" w:eastAsia="仿宋" w:cs="仿宋"/>
          <w:b/>
          <w:bCs/>
          <w:color w:val="000000"/>
          <w:sz w:val="32"/>
          <w:szCs w:val="32"/>
        </w:rPr>
      </w:pPr>
      <w:r>
        <w:rPr>
          <w:rFonts w:hint="eastAsia" w:ascii="仿宋" w:hAnsi="仿宋" w:eastAsia="仿宋" w:cs="仿宋"/>
          <w:b/>
          <w:bCs/>
          <w:color w:val="000000"/>
          <w:sz w:val="32"/>
          <w:szCs w:val="32"/>
        </w:rPr>
        <w:t>（二）实现年度发展规划目标的保障措施</w:t>
      </w:r>
    </w:p>
    <w:p>
      <w:pPr>
        <w:spacing w:line="500" w:lineRule="exact"/>
        <w:ind w:firstLine="560"/>
        <w:rPr>
          <w:rFonts w:ascii="仿宋" w:hAnsi="仿宋" w:eastAsia="仿宋" w:cs="仿宋"/>
          <w:color w:val="000000"/>
          <w:sz w:val="32"/>
          <w:szCs w:val="32"/>
        </w:rPr>
      </w:pPr>
      <w:r>
        <w:rPr>
          <w:rFonts w:ascii="仿宋" w:hAnsi="仿宋" w:eastAsia="仿宋" w:cs="仿宋"/>
          <w:b/>
          <w:color w:val="000000"/>
          <w:sz w:val="32"/>
          <w:szCs w:val="32"/>
        </w:rPr>
        <w:t>1</w:t>
      </w:r>
      <w:r>
        <w:rPr>
          <w:rFonts w:hint="eastAsia" w:ascii="仿宋" w:hAnsi="仿宋" w:eastAsia="仿宋" w:cs="仿宋"/>
          <w:b/>
          <w:color w:val="000000"/>
          <w:sz w:val="32"/>
          <w:szCs w:val="32"/>
        </w:rPr>
        <w:t>、保运行，实现工业经济稳中向好。</w:t>
      </w:r>
      <w:r>
        <w:rPr>
          <w:rFonts w:hint="eastAsia" w:ascii="仿宋" w:hAnsi="仿宋" w:eastAsia="仿宋" w:cs="仿宋"/>
          <w:color w:val="000000"/>
          <w:sz w:val="32"/>
          <w:szCs w:val="32"/>
        </w:rPr>
        <w:t>落实好各项扶强扶智的政策措施，贯彻好包保责任制，切实减轻企业负担，积极协调破解要素制约，引导企业对标先进，改造提升。一是要抓好“双创双服”。落实协调联动机制，筛选重点工业企业，针对发展中存在的问题，实施领导包保责任制，切实帮助企业解决实际困难问题。对全市已筛选出的骨干工业企业开展重点帮扶，深入企业调查研究，制定具体帮扶时间表，对企业反映的困难问题逐项解决，限时办结。二是要落实好各项减负政策。采取减负、降息、倒贷、对标、产销衔接等“政、银、企综合施治”的办法，切实减轻企业负担。密切关注重点行业、重点区域和重点指标变化，加强苗头性、倾向性、潜在性和前瞻性问题分析研判，有针对性的做好风险防范，引导企业科学发展。三是要破解要素制约。围绕“科技、管理、资金、市场、环境”五大要素，强化运行调度、帮扶督导，确保生产要素充足供应，产供需等关键环节有效衔接，确保增长点达产达效。继续扩大银企帮扶基金的使用范围，帮助更多资金困难企业筹备过桥倒贷资金，使更多企业破解资金制约，渡过难关。</w:t>
      </w:r>
      <w:r>
        <w:rPr>
          <w:rFonts w:ascii="仿宋" w:hAnsi="仿宋" w:eastAsia="仿宋" w:cs="仿宋"/>
          <w:color w:val="000000"/>
          <w:sz w:val="32"/>
          <w:szCs w:val="32"/>
        </w:rPr>
        <w:t xml:space="preserve"> </w:t>
      </w:r>
    </w:p>
    <w:p>
      <w:pPr>
        <w:spacing w:line="500" w:lineRule="exact"/>
        <w:ind w:firstLine="560"/>
        <w:rPr>
          <w:rFonts w:ascii="仿宋" w:hAnsi="仿宋" w:eastAsia="仿宋" w:cs="仿宋"/>
          <w:color w:val="000000"/>
          <w:sz w:val="32"/>
          <w:szCs w:val="32"/>
        </w:rPr>
      </w:pPr>
      <w:r>
        <w:rPr>
          <w:rFonts w:ascii="仿宋" w:hAnsi="仿宋" w:eastAsia="仿宋" w:cs="仿宋"/>
          <w:b/>
          <w:color w:val="000000"/>
          <w:sz w:val="32"/>
          <w:szCs w:val="32"/>
        </w:rPr>
        <w:t>2</w:t>
      </w:r>
      <w:r>
        <w:rPr>
          <w:rFonts w:hint="eastAsia" w:ascii="仿宋" w:hAnsi="仿宋" w:eastAsia="仿宋" w:cs="仿宋"/>
          <w:b/>
          <w:color w:val="000000"/>
          <w:sz w:val="32"/>
          <w:szCs w:val="32"/>
        </w:rPr>
        <w:t>、强技改，实现有中生新。</w:t>
      </w:r>
      <w:r>
        <w:rPr>
          <w:rFonts w:hint="eastAsia" w:ascii="仿宋" w:hAnsi="仿宋" w:eastAsia="仿宋" w:cs="仿宋"/>
          <w:color w:val="000000"/>
          <w:sz w:val="32"/>
          <w:szCs w:val="32"/>
        </w:rPr>
        <w:t>全面落实市政府《关于促进工业投资支持工业发展的政策措施》，加快实施技术改造和嫁接升级。一是抓好两黑产业的改造提升。要继续按照“以技改促整合”的思路，全面启动新一轮矿山技改整合工作，坚决淘汰落后产能，分类化解过剩产能，引导企业开展自主创新，技术攻关，采用新工艺、运用新设备，实现降本增效、绿色发展。二是抓好传统优势产业的改造升级。重点实施承钢公司冷轧板项目、颈复康药业系列技改项目、新通源公司微晶系列产品项目等亿元以上技改项目。强化工业设计，依托市工业设计院，强化对产业发展方向、项目布局、产品结构、生产工艺、品牌包装的整体设计，培树“承德设计”品牌，推动全市工业提质增效、转型发展。</w:t>
      </w:r>
    </w:p>
    <w:p>
      <w:pPr>
        <w:spacing w:line="500" w:lineRule="exact"/>
        <w:ind w:firstLine="560"/>
        <w:rPr>
          <w:rFonts w:ascii="仿宋" w:hAnsi="仿宋" w:eastAsia="仿宋" w:cs="仿宋"/>
          <w:color w:val="000000"/>
          <w:sz w:val="32"/>
          <w:szCs w:val="32"/>
        </w:rPr>
      </w:pPr>
      <w:r>
        <w:rPr>
          <w:rFonts w:ascii="仿宋" w:hAnsi="仿宋" w:eastAsia="仿宋" w:cs="仿宋"/>
          <w:b/>
          <w:color w:val="000000"/>
          <w:sz w:val="32"/>
          <w:szCs w:val="32"/>
        </w:rPr>
        <w:t>3</w:t>
      </w:r>
      <w:r>
        <w:rPr>
          <w:rFonts w:hint="eastAsia" w:ascii="仿宋" w:hAnsi="仿宋" w:eastAsia="仿宋" w:cs="仿宋"/>
          <w:b/>
          <w:color w:val="000000"/>
          <w:sz w:val="32"/>
          <w:szCs w:val="32"/>
        </w:rPr>
        <w:t>、促转型，构建现代产业体系。</w:t>
      </w:r>
      <w:r>
        <w:rPr>
          <w:rFonts w:hint="eastAsia" w:ascii="仿宋" w:hAnsi="仿宋" w:eastAsia="仿宋" w:cs="仿宋"/>
          <w:color w:val="000000"/>
          <w:sz w:val="32"/>
          <w:szCs w:val="32"/>
        </w:rPr>
        <w:t>扎实落实好省、市关于实施“三年行动计划”的各项决策部署，认真践行新发展理念，按照高质量发展要求，深化供给侧结构性改革，以做大做强战略性新兴产业为目标，实施创新驱动发展战略，深入推动全面创新改革试验，完善以企业为主体、市场为导向、产学研深度融合的技术创新体系，促进科技成果转化。重点培育大数据、特色装备制造、绿色食品、康复器具与服装等主导产业，推动我市战略性新兴产业跨越发展，推进经济结构战略性调整，实现新旧动能转换。产业规模实现新跨越。力争到</w:t>
      </w:r>
      <w:r>
        <w:rPr>
          <w:rFonts w:ascii="仿宋" w:hAnsi="仿宋" w:eastAsia="仿宋" w:cs="仿宋"/>
          <w:color w:val="000000"/>
          <w:sz w:val="32"/>
          <w:szCs w:val="32"/>
        </w:rPr>
        <w:t>2020</w:t>
      </w:r>
      <w:r>
        <w:rPr>
          <w:rFonts w:hint="eastAsia" w:ascii="仿宋" w:hAnsi="仿宋" w:eastAsia="仿宋" w:cs="仿宋"/>
          <w:color w:val="000000"/>
          <w:sz w:val="32"/>
          <w:szCs w:val="32"/>
        </w:rPr>
        <w:t>年，全市战略性新兴产业的引领地位基本确立，产业支撑能力进一步增强，政策支持体系和产业生态系统更加完善。</w:t>
      </w:r>
    </w:p>
    <w:p>
      <w:pPr>
        <w:spacing w:line="500" w:lineRule="exact"/>
        <w:ind w:firstLine="560"/>
        <w:rPr>
          <w:rFonts w:ascii="仿宋" w:hAnsi="仿宋" w:eastAsia="仿宋" w:cs="仿宋"/>
          <w:color w:val="000000"/>
          <w:sz w:val="32"/>
          <w:szCs w:val="32"/>
        </w:rPr>
      </w:pPr>
      <w:r>
        <w:rPr>
          <w:rFonts w:ascii="仿宋" w:hAnsi="仿宋" w:eastAsia="仿宋" w:cs="仿宋"/>
          <w:b/>
          <w:color w:val="000000"/>
          <w:sz w:val="32"/>
          <w:szCs w:val="32"/>
        </w:rPr>
        <w:t>4</w:t>
      </w:r>
      <w:r>
        <w:rPr>
          <w:rFonts w:hint="eastAsia" w:ascii="仿宋" w:hAnsi="仿宋" w:eastAsia="仿宋" w:cs="仿宋"/>
          <w:b/>
          <w:color w:val="000000"/>
          <w:sz w:val="32"/>
          <w:szCs w:val="32"/>
        </w:rPr>
        <w:t>、优环境，推动民营经济大发展快发展。</w:t>
      </w:r>
      <w:r>
        <w:rPr>
          <w:rFonts w:hint="eastAsia" w:ascii="仿宋" w:hAnsi="仿宋" w:eastAsia="仿宋" w:cs="仿宋"/>
          <w:color w:val="000000"/>
          <w:sz w:val="32"/>
          <w:szCs w:val="32"/>
        </w:rPr>
        <w:t>把持续优化发展环境，作为民营经济健康发展的动力源。落实中央、省、市扶持民营经济和中小微企业的各项政策，加强政策宣传和解读。借助中小企业公共服务平台，创新服务模式，为中小微企业提供优质服务。加强对“专精特新”中小企业的培育工作，促进中小企业转型发展。继续抓好民营企业经营管理者到清华、浙大等国内著名高校进行高端培训，提高我市企业家综合素质。建议制定奖励激励政策，调动企业家创业的积极性。</w:t>
      </w:r>
      <w:r>
        <w:rPr>
          <w:rFonts w:ascii="仿宋" w:hAnsi="仿宋" w:eastAsia="仿宋" w:cs="仿宋"/>
          <w:color w:val="000000"/>
          <w:sz w:val="32"/>
          <w:szCs w:val="32"/>
        </w:rPr>
        <w:t xml:space="preserve"> </w:t>
      </w:r>
    </w:p>
    <w:p>
      <w:pPr>
        <w:spacing w:line="500" w:lineRule="exact"/>
        <w:ind w:firstLine="560"/>
        <w:rPr>
          <w:rFonts w:ascii="仿宋" w:hAnsi="仿宋" w:eastAsia="仿宋" w:cs="仿宋"/>
          <w:color w:val="000000"/>
          <w:sz w:val="32"/>
          <w:szCs w:val="32"/>
        </w:rPr>
      </w:pPr>
      <w:r>
        <w:rPr>
          <w:rFonts w:ascii="仿宋" w:hAnsi="仿宋" w:eastAsia="仿宋" w:cs="仿宋"/>
          <w:b/>
          <w:color w:val="000000"/>
          <w:sz w:val="32"/>
          <w:szCs w:val="32"/>
        </w:rPr>
        <w:t>5</w:t>
      </w:r>
      <w:r>
        <w:rPr>
          <w:rFonts w:hint="eastAsia" w:ascii="仿宋" w:hAnsi="仿宋" w:eastAsia="仿宋" w:cs="仿宋"/>
          <w:b/>
          <w:color w:val="000000"/>
          <w:sz w:val="32"/>
          <w:szCs w:val="32"/>
        </w:rPr>
        <w:t>、重环保，扎实推进工业领域环境治理工作。</w:t>
      </w:r>
      <w:r>
        <w:rPr>
          <w:rFonts w:hint="eastAsia" w:ascii="仿宋" w:hAnsi="仿宋" w:eastAsia="仿宋" w:cs="仿宋"/>
          <w:color w:val="000000"/>
          <w:sz w:val="32"/>
          <w:szCs w:val="32"/>
        </w:rPr>
        <w:t>把环境保护、去产能、治污染作为一项政治任务抓实抓好。以市场化、法治化手段倒逼产能退出，配合有关部门开展钢铁去产能工作。加强排查治理，坚决杜绝“地条钢”等落后产能生产行为。加大工业领域大气、水、土污染治理力度，落实好相关行业错峰（停产）措施，开展工业料堆、焦化行业污染整治专项行动，做好燃煤工业锅炉改造工作，确保完成省目标任务。要突出抓好燃煤锅炉改造、料堆治理、地条钢排查等重点工作。</w:t>
      </w:r>
    </w:p>
    <w:p>
      <w:pPr>
        <w:spacing w:line="500" w:lineRule="exact"/>
        <w:ind w:firstLine="560"/>
        <w:rPr>
          <w:rFonts w:ascii="仿宋" w:hAnsi="仿宋" w:eastAsia="仿宋" w:cs="仿宋"/>
          <w:color w:val="000000"/>
          <w:sz w:val="32"/>
          <w:szCs w:val="32"/>
        </w:rPr>
      </w:pPr>
      <w:r>
        <w:rPr>
          <w:rFonts w:ascii="仿宋" w:hAnsi="仿宋" w:eastAsia="仿宋" w:cs="仿宋"/>
          <w:b/>
          <w:color w:val="000000"/>
          <w:sz w:val="32"/>
          <w:szCs w:val="32"/>
        </w:rPr>
        <w:t>6</w:t>
      </w:r>
      <w:r>
        <w:rPr>
          <w:rFonts w:hint="eastAsia" w:ascii="仿宋" w:hAnsi="仿宋" w:eastAsia="仿宋" w:cs="仿宋"/>
          <w:b/>
          <w:color w:val="000000"/>
          <w:sz w:val="32"/>
          <w:szCs w:val="32"/>
        </w:rPr>
        <w:t>、抓招商，力争承接京津产业转移实现新突破。</w:t>
      </w:r>
      <w:r>
        <w:rPr>
          <w:rFonts w:hint="eastAsia" w:ascii="仿宋" w:hAnsi="仿宋" w:eastAsia="仿宋" w:cs="仿宋"/>
          <w:color w:val="000000"/>
          <w:sz w:val="32"/>
          <w:szCs w:val="32"/>
        </w:rPr>
        <w:t>抓住京津冀协同发展的有利契机，立足国家、省对我市功能定位，积极争取国家及省里的政策支持。以各类新兴产业示范区为依托，对准高校、重点城市收集发布项目信息，贴近园区、盘活存量资产进行招商，打造产业转移平台，承接京津地区产业转移。发展各类协会作用，通过协会促招商，同时盘活已有企业存量资产，吸引客商来承投资。</w:t>
      </w:r>
    </w:p>
    <w:p>
      <w:pPr>
        <w:spacing w:line="500" w:lineRule="exact"/>
        <w:ind w:firstLine="560"/>
        <w:rPr>
          <w:rFonts w:ascii="仿宋" w:hAnsi="仿宋" w:eastAsia="仿宋" w:cs="仿宋"/>
          <w:color w:val="000000"/>
          <w:sz w:val="32"/>
          <w:szCs w:val="32"/>
        </w:rPr>
      </w:pPr>
    </w:p>
    <w:p>
      <w:pPr>
        <w:jc w:val="left"/>
        <w:rPr>
          <w:rFonts w:ascii="仿宋" w:hAnsi="仿宋" w:eastAsia="仿宋" w:cs="仿宋"/>
          <w:color w:val="000000"/>
          <w:sz w:val="32"/>
          <w:szCs w:val="32"/>
        </w:rPr>
        <w:sectPr>
          <w:footerReference r:id="rId4" w:type="default"/>
          <w:pgSz w:w="11907" w:h="16839"/>
          <w:pgMar w:top="1531" w:right="1134" w:bottom="1474" w:left="1134" w:header="851" w:footer="992" w:gutter="0"/>
          <w:pgNumType w:start="1"/>
          <w:cols w:space="425" w:num="1"/>
          <w:docGrid w:type="lines" w:linePitch="312" w:charSpace="0"/>
        </w:sectPr>
      </w:pPr>
    </w:p>
    <w:p>
      <w:pPr>
        <w:ind w:firstLine="643" w:firstLineChars="200"/>
        <w:jc w:val="left"/>
        <w:outlineLvl w:val="0"/>
        <w:rPr>
          <w:rFonts w:ascii="仿宋" w:hAnsi="仿宋" w:eastAsia="仿宋" w:cs="仿宋"/>
          <w:b/>
          <w:color w:val="000000"/>
          <w:sz w:val="32"/>
          <w:szCs w:val="32"/>
        </w:rPr>
      </w:pPr>
      <w:bookmarkStart w:id="1" w:name="_Toc536802293"/>
      <w:r>
        <w:rPr>
          <w:rFonts w:hint="eastAsia" w:ascii="仿宋" w:hAnsi="仿宋" w:eastAsia="仿宋" w:cs="仿宋"/>
          <w:b/>
          <w:color w:val="000000"/>
          <w:sz w:val="32"/>
          <w:szCs w:val="32"/>
        </w:rPr>
        <w:t>部门职责及工作活动绩效目标指标：</w:t>
      </w:r>
    </w:p>
    <w:p>
      <w:pPr>
        <w:jc w:val="center"/>
        <w:outlineLvl w:val="0"/>
        <w:rPr>
          <w:rFonts w:ascii="方正小标宋_GBK" w:eastAsia="方正小标宋_GBK"/>
          <w:sz w:val="32"/>
        </w:rPr>
      </w:pPr>
    </w:p>
    <w:p>
      <w:pPr>
        <w:jc w:val="center"/>
        <w:outlineLvl w:val="0"/>
        <w:rPr>
          <w:rFonts w:ascii="方正小标宋_GBK" w:eastAsia="方正小标宋_GBK"/>
          <w:color w:val="FFFFFF"/>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r>
        <w:rPr>
          <w:rStyle w:val="11"/>
          <w:rFonts w:hint="eastAsia" w:ascii="方正小标宋_GBK" w:hAnsi="Symbol" w:eastAsia="方正小标宋_GBK" w:cs="黑体"/>
          <w:color w:val="FFFFFF"/>
          <w:sz w:val="32"/>
          <w:szCs w:val="32"/>
        </w:rPr>
        <w:footnoteReference w:id="0" w:customMarkFollows="1"/>
        <w:sym w:font="Symbol" w:char="F020"/>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593</w:t>
            </w:r>
            <w:r>
              <w:rPr>
                <w:rFonts w:hint="eastAsia" w:ascii="方正小标宋_GBK" w:eastAsia="方正小标宋_GBK"/>
                <w:sz w:val="24"/>
              </w:rPr>
              <w:t>承德市工业和信息化局</w:t>
            </w:r>
          </w:p>
        </w:tc>
        <w:tc>
          <w:tcPr>
            <w:tcW w:w="2948" w:type="dxa"/>
            <w:gridSpan w:val="4"/>
            <w:tcBorders>
              <w:top w:val="single" w:color="FFFFFF" w:sz="6" w:space="0"/>
              <w:left w:val="single" w:color="FFFFFF" w:sz="6" w:space="0"/>
              <w:right w:val="single" w:color="FFFFFF" w:sz="6" w:space="0"/>
            </w:tcBorders>
            <w:noWrap/>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ign w:val="center"/>
          </w:tcPr>
          <w:p>
            <w:pPr>
              <w:spacing w:line="300" w:lineRule="exact"/>
              <w:jc w:val="left"/>
              <w:outlineLvl w:val="0"/>
            </w:pPr>
          </w:p>
        </w:tc>
        <w:tc>
          <w:tcPr>
            <w:tcW w:w="1276" w:type="dxa"/>
            <w:vMerge w:val="continue"/>
            <w:noWrap/>
            <w:vAlign w:val="center"/>
          </w:tcPr>
          <w:p>
            <w:pPr>
              <w:spacing w:line="300" w:lineRule="exact"/>
              <w:jc w:val="left"/>
              <w:outlineLvl w:val="0"/>
            </w:pPr>
          </w:p>
        </w:tc>
        <w:tc>
          <w:tcPr>
            <w:tcW w:w="2976" w:type="dxa"/>
            <w:vMerge w:val="continue"/>
            <w:noWrap/>
            <w:vAlign w:val="center"/>
          </w:tcPr>
          <w:p>
            <w:pPr>
              <w:spacing w:line="300" w:lineRule="exact"/>
              <w:jc w:val="left"/>
              <w:outlineLvl w:val="0"/>
            </w:pPr>
          </w:p>
        </w:tc>
        <w:tc>
          <w:tcPr>
            <w:tcW w:w="2976" w:type="dxa"/>
            <w:vMerge w:val="continue"/>
            <w:noWrap/>
            <w:vAlign w:val="center"/>
          </w:tcPr>
          <w:p>
            <w:pPr>
              <w:spacing w:line="300" w:lineRule="exact"/>
              <w:jc w:val="left"/>
              <w:outlineLvl w:val="0"/>
            </w:pPr>
          </w:p>
        </w:tc>
        <w:tc>
          <w:tcPr>
            <w:tcW w:w="1417" w:type="dxa"/>
            <w:vMerge w:val="continue"/>
            <w:noWrap/>
            <w:vAlign w:val="center"/>
          </w:tcPr>
          <w:p>
            <w:pPr>
              <w:spacing w:line="300" w:lineRule="exact"/>
              <w:jc w:val="left"/>
              <w:outlineLvl w:val="0"/>
            </w:pPr>
          </w:p>
        </w:tc>
        <w:tc>
          <w:tcPr>
            <w:tcW w:w="737" w:type="dxa"/>
            <w:noWrap/>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noWrap/>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noWrap/>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noWrap/>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一、促进工业转型升级</w:t>
            </w:r>
          </w:p>
        </w:tc>
        <w:tc>
          <w:tcPr>
            <w:tcW w:w="1276" w:type="dxa"/>
            <w:noWrap/>
            <w:vAlign w:val="center"/>
          </w:tcPr>
          <w:p>
            <w:pPr>
              <w:spacing w:line="240" w:lineRule="exact"/>
              <w:jc w:val="left"/>
              <w:rPr>
                <w:rFonts w:ascii="方正书宋_GBK" w:eastAsia="方正书宋_GBK"/>
                <w:sz w:val="18"/>
                <w:szCs w:val="18"/>
              </w:rPr>
            </w:pPr>
            <w:r>
              <w:rPr>
                <w:rFonts w:ascii="方正书宋_GBK" w:eastAsia="方正书宋_GBK"/>
                <w:sz w:val="18"/>
                <w:szCs w:val="18"/>
              </w:rPr>
              <w:t>80.00</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组织制定工业和信息化发展战略、规划。组织全市工业技术改造工作，推进企业技术创新体系建设。组织协调推进企业兼并重组、淘汰落后产能和化解过剩产能、工业节能与资源综合利用工作，组织实施重大专项，推进产业结构战略性调整和优化升级，加快现代产业体系建设。监测分析全市工业运行；负责全市钢铁、石化、建材、装备、纺织、医药、轻工食品、电子信息、软件信息服务业等工业行业管理，指导并组织实施行业准入和全市企业品牌建设等。推进信息化和工业化融合，工业物联网发展。推动全市软件业、信息服务业发展。</w:t>
            </w:r>
          </w:p>
        </w:tc>
        <w:tc>
          <w:tcPr>
            <w:tcW w:w="2976"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加大我市工业转型升级步伐，实施</w:t>
            </w:r>
            <w:r>
              <w:rPr>
                <w:rFonts w:ascii="方正书宋_GBK" w:eastAsia="方正书宋_GBK"/>
                <w:sz w:val="18"/>
                <w:szCs w:val="18"/>
              </w:rPr>
              <w:t>“</w:t>
            </w:r>
            <w:r>
              <w:rPr>
                <w:rFonts w:hint="eastAsia" w:ascii="方正书宋_GBK" w:eastAsia="方正书宋_GBK"/>
                <w:sz w:val="18"/>
                <w:szCs w:val="18"/>
              </w:rPr>
              <w:t>中国制造</w:t>
            </w:r>
            <w:r>
              <w:rPr>
                <w:rFonts w:ascii="方正书宋_GBK" w:eastAsia="方正书宋_GBK"/>
                <w:sz w:val="18"/>
                <w:szCs w:val="18"/>
              </w:rPr>
              <w:t>2028”</w:t>
            </w:r>
            <w:r>
              <w:rPr>
                <w:rFonts w:hint="eastAsia" w:ascii="方正书宋_GBK" w:eastAsia="方正书宋_GBK"/>
                <w:sz w:val="18"/>
                <w:szCs w:val="18"/>
              </w:rPr>
              <w:t>，加快制造强市建设，提升工业发展的质量和效益。提升行业管理水平，促进行业健康发展。实施</w:t>
            </w:r>
            <w:r>
              <w:rPr>
                <w:rFonts w:ascii="方正书宋_GBK" w:eastAsia="方正书宋_GBK"/>
                <w:sz w:val="18"/>
                <w:szCs w:val="18"/>
              </w:rPr>
              <w:t>“</w:t>
            </w:r>
            <w:r>
              <w:rPr>
                <w:rFonts w:hint="eastAsia" w:ascii="方正书宋_GBK" w:eastAsia="方正书宋_GBK"/>
                <w:sz w:val="18"/>
                <w:szCs w:val="18"/>
              </w:rPr>
              <w:t>互联网</w:t>
            </w:r>
            <w:r>
              <w:rPr>
                <w:rFonts w:ascii="方正书宋_GBK" w:eastAsia="方正书宋_GBK"/>
                <w:sz w:val="18"/>
                <w:szCs w:val="18"/>
              </w:rPr>
              <w:t>+”</w:t>
            </w:r>
            <w:r>
              <w:rPr>
                <w:rFonts w:hint="eastAsia" w:ascii="方正书宋_GBK" w:eastAsia="方正书宋_GBK"/>
                <w:sz w:val="18"/>
                <w:szCs w:val="18"/>
              </w:rPr>
              <w:t>计划，提升全市信息化建设和发展水平</w:t>
            </w:r>
          </w:p>
        </w:tc>
        <w:tc>
          <w:tcPr>
            <w:tcW w:w="1417" w:type="dxa"/>
            <w:noWrap/>
            <w:vAlign w:val="center"/>
          </w:tcPr>
          <w:p>
            <w:pPr>
              <w:spacing w:line="240" w:lineRule="exact"/>
              <w:jc w:val="left"/>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、支持工业转型升级</w:t>
            </w:r>
          </w:p>
        </w:tc>
        <w:tc>
          <w:tcPr>
            <w:tcW w:w="1276" w:type="dxa"/>
            <w:vMerge w:val="restart"/>
            <w:noWrap/>
            <w:vAlign w:val="center"/>
          </w:tcPr>
          <w:p>
            <w:pPr>
              <w:spacing w:line="240" w:lineRule="exact"/>
              <w:jc w:val="left"/>
              <w:rPr>
                <w:rFonts w:ascii="方正书宋_GBK" w:eastAsia="方正书宋_GBK"/>
                <w:sz w:val="18"/>
                <w:szCs w:val="18"/>
              </w:rPr>
            </w:pPr>
            <w:r>
              <w:rPr>
                <w:rFonts w:ascii="方正书宋_GBK" w:eastAsia="方正书宋_GBK"/>
                <w:sz w:val="18"/>
                <w:szCs w:val="18"/>
              </w:rPr>
              <w:t>80.00</w:t>
            </w:r>
          </w:p>
        </w:tc>
        <w:tc>
          <w:tcPr>
            <w:tcW w:w="2976" w:type="dxa"/>
            <w:vMerge w:val="restart"/>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z w:val="18"/>
                <w:szCs w:val="18"/>
              </w:rPr>
              <w:t>研究提出全市新型工业和信息化发展战略和政策，支持工业技术改造，扶持企业技术创新，促进工业节能减排与尾矿资源综合利用，推进工业行业化解过剩产能、焦化治理、新能源汽车、刷卡排污总量监控系统建设，推动企业兼并重组，指导工业设计与制造融合发展，协调推进工业强市、制造强市建设，促进装备制造业加快发展，做好工业运行监测分析、预警，组织开展工业企业对标行动，加强工业行业质量管理，实施工业行业准入、规范管理和工业标准管理，指导工业行业安全生产、促进军民融合产业发展、应急管理，促进物联网、</w:t>
            </w:r>
            <w:r>
              <w:rPr>
                <w:rFonts w:ascii="方正书宋_GBK" w:eastAsia="方正书宋_GBK"/>
                <w:sz w:val="18"/>
                <w:szCs w:val="18"/>
              </w:rPr>
              <w:t>Wifi</w:t>
            </w:r>
            <w:r>
              <w:rPr>
                <w:rFonts w:hint="eastAsia" w:ascii="方正书宋_GBK" w:eastAsia="方正书宋_GBK"/>
                <w:sz w:val="18"/>
                <w:szCs w:val="18"/>
              </w:rPr>
              <w:t>覆盖、大数据、云计算产业</w:t>
            </w:r>
          </w:p>
        </w:tc>
        <w:tc>
          <w:tcPr>
            <w:tcW w:w="2976" w:type="dxa"/>
            <w:vMerge w:val="restart"/>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z w:val="18"/>
                <w:szCs w:val="18"/>
              </w:rPr>
              <w:t>推动工业企业节能降耗减排，提升资源综合利用，促进绿色循环低碳发展。</w:t>
            </w: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投资额（亿元）</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200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150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100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关键工序制造装备数控化率</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32%</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培育创建企业个数</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w:t>
            </w:r>
            <w:r>
              <w:rPr>
                <w:rFonts w:hint="eastAsia" w:ascii="方正书宋_GBK" w:eastAsia="方正书宋_GBK"/>
                <w:spacing w:val="-20"/>
                <w:sz w:val="18"/>
                <w:szCs w:val="18"/>
              </w:rPr>
              <w:t>个</w:t>
            </w:r>
          </w:p>
        </w:tc>
        <w:tc>
          <w:tcPr>
            <w:tcW w:w="737" w:type="dxa"/>
            <w:noWrap/>
            <w:vAlign w:val="center"/>
          </w:tcPr>
          <w:p>
            <w:pPr>
              <w:spacing w:line="220" w:lineRule="exact"/>
              <w:jc w:val="center"/>
              <w:rPr>
                <w:rFonts w:ascii="方正书宋_GBK" w:eastAsia="方正书宋_GBK"/>
                <w:spacing w:val="-20"/>
                <w:sz w:val="18"/>
                <w:szCs w:val="18"/>
              </w:rPr>
            </w:pPr>
            <w:r>
              <w:rPr>
                <w:rFonts w:ascii="方正书宋_GBK" w:eastAsia="方正书宋_GBK"/>
                <w:spacing w:val="-20"/>
                <w:sz w:val="18"/>
                <w:szCs w:val="18"/>
              </w:rPr>
              <w:t>1-2</w:t>
            </w:r>
            <w:r>
              <w:rPr>
                <w:rFonts w:hint="eastAsia" w:ascii="方正书宋_GBK" w:eastAsia="方正书宋_GBK"/>
                <w:spacing w:val="-20"/>
                <w:sz w:val="18"/>
                <w:szCs w:val="18"/>
              </w:rPr>
              <w:t>个</w:t>
            </w:r>
          </w:p>
        </w:tc>
        <w:tc>
          <w:tcPr>
            <w:tcW w:w="737" w:type="dxa"/>
            <w:noWrap/>
            <w:vAlign w:val="center"/>
          </w:tcPr>
          <w:p>
            <w:pPr>
              <w:spacing w:line="220" w:lineRule="exact"/>
              <w:jc w:val="center"/>
              <w:rPr>
                <w:rFonts w:ascii="方正书宋_GBK" w:eastAsia="方正书宋_GBK"/>
                <w:spacing w:val="-20"/>
                <w:sz w:val="18"/>
                <w:szCs w:val="18"/>
              </w:rPr>
            </w:pPr>
            <w:r>
              <w:rPr>
                <w:rFonts w:ascii="方正书宋_GBK" w:eastAsia="方正书宋_GBK"/>
                <w:spacing w:val="-20"/>
                <w:sz w:val="18"/>
                <w:szCs w:val="18"/>
              </w:rPr>
              <w:t>1</w:t>
            </w:r>
            <w:r>
              <w:rPr>
                <w:rFonts w:hint="eastAsia" w:ascii="方正书宋_GBK" w:eastAsia="方正书宋_GBK"/>
                <w:spacing w:val="-20"/>
                <w:sz w:val="18"/>
                <w:szCs w:val="18"/>
              </w:rPr>
              <w:t>个</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w:t>
            </w:r>
            <w:r>
              <w:rPr>
                <w:rFonts w:hint="eastAsia" w:ascii="方正书宋_GBK" w:eastAsia="方正书宋_GBK"/>
                <w:spacing w:val="-20"/>
                <w:sz w:val="18"/>
                <w:szCs w:val="18"/>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军民结合企业个数</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w:t>
            </w:r>
            <w:r>
              <w:rPr>
                <w:rFonts w:hint="eastAsia" w:ascii="方正书宋_GBK" w:eastAsia="方正书宋_GBK"/>
                <w:spacing w:val="-20"/>
                <w:sz w:val="18"/>
                <w:szCs w:val="18"/>
              </w:rPr>
              <w:t>个</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w:t>
            </w:r>
            <w:r>
              <w:rPr>
                <w:rFonts w:hint="eastAsia" w:ascii="方正书宋_GBK" w:eastAsia="方正书宋_GBK"/>
                <w:spacing w:val="-20"/>
                <w:sz w:val="18"/>
                <w:szCs w:val="18"/>
              </w:rPr>
              <w:t>个</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w:t>
            </w:r>
            <w:r>
              <w:rPr>
                <w:rFonts w:hint="eastAsia" w:ascii="方正书宋_GBK" w:eastAsia="方正书宋_GBK"/>
                <w:spacing w:val="-20"/>
                <w:sz w:val="18"/>
                <w:szCs w:val="18"/>
              </w:rPr>
              <w:t>个</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w:t>
            </w:r>
            <w:r>
              <w:rPr>
                <w:rFonts w:hint="eastAsia" w:ascii="方正书宋_GBK" w:eastAsia="方正书宋_GBK"/>
                <w:spacing w:val="-20"/>
                <w:sz w:val="18"/>
                <w:szCs w:val="18"/>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对标指标体系更新和公布个数</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w:t>
            </w:r>
            <w:r>
              <w:rPr>
                <w:rFonts w:hint="eastAsia" w:ascii="方正书宋_GBK" w:eastAsia="方正书宋_GBK"/>
                <w:spacing w:val="-20"/>
                <w:sz w:val="18"/>
                <w:szCs w:val="18"/>
              </w:rPr>
              <w:t>个</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w:t>
            </w:r>
            <w:r>
              <w:rPr>
                <w:rFonts w:hint="eastAsia" w:ascii="方正书宋_GBK" w:eastAsia="方正书宋_GBK"/>
                <w:spacing w:val="-20"/>
                <w:sz w:val="18"/>
                <w:szCs w:val="18"/>
              </w:rPr>
              <w:t>个</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w:t>
            </w:r>
            <w:r>
              <w:rPr>
                <w:rFonts w:hint="eastAsia" w:ascii="方正书宋_GBK" w:eastAsia="方正书宋_GBK"/>
                <w:spacing w:val="-20"/>
                <w:sz w:val="18"/>
                <w:szCs w:val="18"/>
              </w:rPr>
              <w:t>个</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w:t>
            </w:r>
            <w:r>
              <w:rPr>
                <w:rFonts w:hint="eastAsia" w:ascii="方正书宋_GBK" w:eastAsia="方正书宋_GBK"/>
                <w:spacing w:val="-20"/>
                <w:sz w:val="18"/>
                <w:szCs w:val="18"/>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技改项目实施数量（项）</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100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80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60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主营业务收入超亿元企业个数</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60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55</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规模以上工业万元增加值能耗比下降率</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8%</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6%</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4%</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数字化研发设计工具普及率</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45%</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40%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35%</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2976" w:type="dxa"/>
            <w:vMerge w:val="continue"/>
            <w:noWrap/>
            <w:vAlign w:val="center"/>
          </w:tcPr>
          <w:p>
            <w:pPr>
              <w:spacing w:line="220" w:lineRule="exact"/>
              <w:jc w:val="left"/>
              <w:rPr>
                <w:rFonts w:ascii="方正书宋_GBK" w:eastAsia="方正书宋_GBK"/>
                <w:spacing w:val="-20"/>
                <w:sz w:val="18"/>
                <w:szCs w:val="18"/>
              </w:rPr>
            </w:pPr>
          </w:p>
        </w:tc>
        <w:tc>
          <w:tcPr>
            <w:tcW w:w="1417" w:type="dxa"/>
            <w:noWrap/>
            <w:vAlign w:val="center"/>
          </w:tcPr>
          <w:p>
            <w:pPr>
              <w:spacing w:line="220" w:lineRule="exact"/>
              <w:jc w:val="left"/>
              <w:rPr>
                <w:rFonts w:ascii="方正书宋_GBK" w:eastAsia="方正书宋_GBK"/>
                <w:spacing w:val="-20"/>
                <w:sz w:val="18"/>
                <w:szCs w:val="18"/>
              </w:rPr>
            </w:pPr>
            <w:r>
              <w:rPr>
                <w:rFonts w:hint="eastAsia" w:ascii="方正书宋_GBK" w:eastAsia="方正书宋_GBK"/>
                <w:spacing w:val="-20"/>
                <w:sz w:val="18"/>
                <w:szCs w:val="18"/>
              </w:rPr>
              <w:t>尾矿综合利用率</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25%</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22%</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20%</w:t>
            </w:r>
          </w:p>
        </w:tc>
        <w:tc>
          <w:tcPr>
            <w:tcW w:w="737" w:type="dxa"/>
            <w:noWrap/>
            <w:vAlign w:val="center"/>
          </w:tcPr>
          <w:p>
            <w:pPr>
              <w:spacing w:line="220" w:lineRule="exact"/>
              <w:jc w:val="center"/>
              <w:rPr>
                <w:rFonts w:ascii="方正书宋_GBK" w:eastAsia="方正书宋_GBK"/>
                <w:spacing w:val="-20"/>
                <w:sz w:val="18"/>
                <w:szCs w:val="18"/>
              </w:rPr>
            </w:pPr>
            <w:r>
              <w:rPr>
                <w:rFonts w:hint="eastAsia" w:ascii="方正书宋_GBK" w:eastAsia="方正书宋_GBK"/>
                <w:spacing w:val="-20"/>
                <w:sz w:val="18"/>
                <w:szCs w:val="18"/>
              </w:rPr>
              <w:t>＜</w:t>
            </w:r>
            <w:r>
              <w:rPr>
                <w:rFonts w:ascii="方正书宋_GBK" w:eastAsia="方正书宋_GBK"/>
                <w:spacing w:val="-2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、工业和信息化对外交流与合作</w:t>
            </w:r>
          </w:p>
        </w:tc>
        <w:tc>
          <w:tcPr>
            <w:tcW w:w="1276" w:type="dxa"/>
            <w:vMerge w:val="restart"/>
            <w:noWrap/>
            <w:vAlign w:val="center"/>
          </w:tcPr>
          <w:p>
            <w:pPr>
              <w:spacing w:line="240" w:lineRule="exact"/>
              <w:jc w:val="left"/>
              <w:rPr>
                <w:rFonts w:ascii="方正书宋_GBK" w:eastAsia="方正书宋_GBK"/>
                <w:sz w:val="18"/>
                <w:szCs w:val="18"/>
              </w:rPr>
            </w:pPr>
          </w:p>
        </w:tc>
        <w:tc>
          <w:tcPr>
            <w:tcW w:w="2976" w:type="dxa"/>
            <w:vMerge w:val="restart"/>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开展对外经济交流与合作，支持企业</w:t>
            </w:r>
            <w:r>
              <w:rPr>
                <w:rFonts w:ascii="方正书宋_GBK" w:eastAsia="方正书宋_GBK"/>
                <w:sz w:val="18"/>
                <w:szCs w:val="18"/>
              </w:rPr>
              <w:t>“</w:t>
            </w:r>
            <w:r>
              <w:rPr>
                <w:rFonts w:hint="eastAsia" w:ascii="方正书宋_GBK" w:eastAsia="方正书宋_GBK"/>
                <w:sz w:val="18"/>
                <w:szCs w:val="18"/>
              </w:rPr>
              <w:t>走出去</w:t>
            </w:r>
            <w:r>
              <w:rPr>
                <w:rFonts w:ascii="方正书宋_GBK" w:eastAsia="方正书宋_GBK"/>
                <w:sz w:val="18"/>
                <w:szCs w:val="18"/>
              </w:rPr>
              <w:t>”</w:t>
            </w:r>
            <w:r>
              <w:rPr>
                <w:rFonts w:hint="eastAsia" w:ascii="方正书宋_GBK" w:eastAsia="方正书宋_GBK"/>
                <w:sz w:val="18"/>
                <w:szCs w:val="18"/>
              </w:rPr>
              <w:t>，指导和推动工业企业参加展洽活动，积极开拓国内、国外市场，促进贸易成交和技术交流，追踪前沿动态。推进京津冀工业和信息化协同发展。</w:t>
            </w:r>
          </w:p>
        </w:tc>
        <w:tc>
          <w:tcPr>
            <w:tcW w:w="2976" w:type="dxa"/>
            <w:vMerge w:val="restart"/>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促进工业企业开展对外经济交流与合作，提升工业对外开放水平</w:t>
            </w:r>
          </w:p>
        </w:tc>
        <w:tc>
          <w:tcPr>
            <w:tcW w:w="1417"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意向成交额增长率</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1417"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企业参加展洽数量（家）</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200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150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100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1417"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军民结合企业个数</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w:t>
            </w:r>
            <w:r>
              <w:rPr>
                <w:rFonts w:hint="eastAsia" w:ascii="方正书宋_GBK" w:eastAsia="方正书宋_GBK"/>
                <w:sz w:val="18"/>
                <w:szCs w:val="18"/>
              </w:rPr>
              <w:t>个</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w:t>
            </w:r>
            <w:r>
              <w:rPr>
                <w:rFonts w:hint="eastAsia" w:ascii="方正书宋_GBK" w:eastAsia="方正书宋_GBK"/>
                <w:sz w:val="18"/>
                <w:szCs w:val="18"/>
              </w:rPr>
              <w:t>个</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r>
              <w:rPr>
                <w:rFonts w:hint="eastAsia" w:ascii="方正书宋_GBK" w:eastAsia="方正书宋_GBK"/>
                <w:sz w:val="18"/>
                <w:szCs w:val="18"/>
              </w:rPr>
              <w:t>个</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r>
              <w:rPr>
                <w:rFonts w:hint="eastAsia" w:ascii="方正书宋_GBK" w:eastAsia="方正书宋_GBK"/>
                <w:sz w:val="18"/>
                <w:szCs w:val="18"/>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二、推进全市信息化建设与应用</w:t>
            </w:r>
          </w:p>
        </w:tc>
        <w:tc>
          <w:tcPr>
            <w:tcW w:w="1276" w:type="dxa"/>
            <w:noWrap/>
            <w:vAlign w:val="center"/>
          </w:tcPr>
          <w:p>
            <w:pPr>
              <w:spacing w:line="240" w:lineRule="exact"/>
              <w:jc w:val="left"/>
              <w:rPr>
                <w:rFonts w:ascii="方正书宋_GBK" w:eastAsia="方正书宋_GBK"/>
                <w:sz w:val="18"/>
                <w:szCs w:val="18"/>
              </w:rPr>
            </w:pPr>
            <w:r>
              <w:rPr>
                <w:rFonts w:ascii="方正书宋_GBK" w:eastAsia="方正书宋_GBK"/>
                <w:sz w:val="18"/>
                <w:szCs w:val="18"/>
              </w:rPr>
              <w:t>550.00</w:t>
            </w:r>
          </w:p>
        </w:tc>
        <w:tc>
          <w:tcPr>
            <w:tcW w:w="2976"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统筹协调推进全市信息化建设与应用；组织拟订相关政策规划；指导协调电子政务发展；推动互联互通和信息资源开发利用、共享。促进三网融合、信息消费；维护网络与信息安全。</w:t>
            </w:r>
          </w:p>
        </w:tc>
        <w:tc>
          <w:tcPr>
            <w:tcW w:w="2976"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提升全市电子政务信息化建设与应用水平，保障网络与信息安全。</w:t>
            </w:r>
          </w:p>
        </w:tc>
        <w:tc>
          <w:tcPr>
            <w:tcW w:w="1417" w:type="dxa"/>
            <w:noWrap/>
            <w:vAlign w:val="center"/>
          </w:tcPr>
          <w:p>
            <w:pPr>
              <w:spacing w:line="240" w:lineRule="exact"/>
              <w:jc w:val="left"/>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、协调全市信息安全保障体系建设</w:t>
            </w:r>
          </w:p>
        </w:tc>
        <w:tc>
          <w:tcPr>
            <w:tcW w:w="1276" w:type="dxa"/>
            <w:vMerge w:val="restart"/>
            <w:noWrap/>
            <w:vAlign w:val="center"/>
          </w:tcPr>
          <w:p>
            <w:pPr>
              <w:spacing w:line="240" w:lineRule="exact"/>
              <w:jc w:val="left"/>
              <w:rPr>
                <w:rFonts w:ascii="方正书宋_GBK" w:eastAsia="方正书宋_GBK"/>
                <w:sz w:val="18"/>
                <w:szCs w:val="18"/>
              </w:rPr>
            </w:pPr>
            <w:r>
              <w:rPr>
                <w:rFonts w:ascii="方正书宋_GBK" w:eastAsia="方正书宋_GBK"/>
                <w:sz w:val="18"/>
                <w:szCs w:val="18"/>
              </w:rPr>
              <w:t>550.00</w:t>
            </w:r>
          </w:p>
        </w:tc>
        <w:tc>
          <w:tcPr>
            <w:tcW w:w="2976" w:type="dxa"/>
            <w:vMerge w:val="restart"/>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指导和协调网络与信息安全管理工作，推进信息安全等级保护等基础性工作，指导监督政府部门、重点行业重要信息系统与基础信息网络的安全保障，负责应急和重大事件协调处理工作。</w:t>
            </w:r>
          </w:p>
        </w:tc>
        <w:tc>
          <w:tcPr>
            <w:tcW w:w="2976" w:type="dxa"/>
            <w:vMerge w:val="restart"/>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提高电子政务信息化水平</w:t>
            </w:r>
          </w:p>
        </w:tc>
        <w:tc>
          <w:tcPr>
            <w:tcW w:w="1417"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网站监测覆盖率</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75%</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1417"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信息化项目审核率</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三、开展医药储备工作</w:t>
            </w:r>
          </w:p>
        </w:tc>
        <w:tc>
          <w:tcPr>
            <w:tcW w:w="1276" w:type="dxa"/>
            <w:noWrap/>
            <w:vAlign w:val="center"/>
          </w:tcPr>
          <w:p>
            <w:pPr>
              <w:spacing w:line="240" w:lineRule="exact"/>
              <w:jc w:val="left"/>
              <w:rPr>
                <w:rFonts w:ascii="方正书宋_GBK" w:eastAsia="方正书宋_GBK"/>
                <w:sz w:val="18"/>
                <w:szCs w:val="18"/>
              </w:rPr>
            </w:pPr>
          </w:p>
        </w:tc>
        <w:tc>
          <w:tcPr>
            <w:tcW w:w="2976"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负责全市医药储备工作</w:t>
            </w:r>
          </w:p>
        </w:tc>
        <w:tc>
          <w:tcPr>
            <w:tcW w:w="2976"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切实完成医药储备任务</w:t>
            </w:r>
          </w:p>
        </w:tc>
        <w:tc>
          <w:tcPr>
            <w:tcW w:w="1417" w:type="dxa"/>
            <w:noWrap/>
            <w:vAlign w:val="center"/>
          </w:tcPr>
          <w:p>
            <w:pPr>
              <w:spacing w:line="240" w:lineRule="exact"/>
              <w:jc w:val="left"/>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、协调医药储备</w:t>
            </w:r>
          </w:p>
        </w:tc>
        <w:tc>
          <w:tcPr>
            <w:tcW w:w="1276" w:type="dxa"/>
            <w:noWrap/>
            <w:vAlign w:val="center"/>
          </w:tcPr>
          <w:p>
            <w:pPr>
              <w:spacing w:line="240" w:lineRule="exact"/>
              <w:jc w:val="left"/>
              <w:rPr>
                <w:rFonts w:ascii="方正书宋_GBK" w:eastAsia="方正书宋_GBK"/>
                <w:sz w:val="18"/>
                <w:szCs w:val="18"/>
              </w:rPr>
            </w:pPr>
          </w:p>
        </w:tc>
        <w:tc>
          <w:tcPr>
            <w:tcW w:w="2976"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协调相关医药流通企业落实医药储备任务。</w:t>
            </w:r>
          </w:p>
        </w:tc>
        <w:tc>
          <w:tcPr>
            <w:tcW w:w="2976"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落实医药储备任务</w:t>
            </w:r>
          </w:p>
        </w:tc>
        <w:tc>
          <w:tcPr>
            <w:tcW w:w="1417"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医药储备任务完成率</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70%</w:t>
            </w: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四、促进中小企业和民营经济发展</w:t>
            </w:r>
          </w:p>
        </w:tc>
        <w:tc>
          <w:tcPr>
            <w:tcW w:w="1276" w:type="dxa"/>
            <w:noWrap/>
            <w:vAlign w:val="center"/>
          </w:tcPr>
          <w:p>
            <w:pPr>
              <w:spacing w:line="240" w:lineRule="exact"/>
              <w:jc w:val="left"/>
              <w:rPr>
                <w:rFonts w:ascii="方正书宋_GBK" w:eastAsia="方正书宋_GBK"/>
                <w:sz w:val="18"/>
                <w:szCs w:val="18"/>
              </w:rPr>
            </w:pPr>
          </w:p>
        </w:tc>
        <w:tc>
          <w:tcPr>
            <w:tcW w:w="2976"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加强对中小微企业和民营经济的宏观指导、综合协调，优化发展环境，激活市场主体，破解要素制约，强化公共服务，加强督导、检查和考核，提高民营经济和中小微企业发展质量和水平。</w:t>
            </w:r>
          </w:p>
        </w:tc>
        <w:tc>
          <w:tcPr>
            <w:tcW w:w="2976"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推动中小微企业和民营经济持续、健康发展</w:t>
            </w:r>
          </w:p>
        </w:tc>
        <w:tc>
          <w:tcPr>
            <w:tcW w:w="1417" w:type="dxa"/>
            <w:noWrap/>
            <w:vAlign w:val="center"/>
          </w:tcPr>
          <w:p>
            <w:pPr>
              <w:spacing w:line="240" w:lineRule="exact"/>
              <w:jc w:val="left"/>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24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、促进中小企业和民营经济发展</w:t>
            </w:r>
          </w:p>
        </w:tc>
        <w:tc>
          <w:tcPr>
            <w:tcW w:w="1276" w:type="dxa"/>
            <w:vMerge w:val="restart"/>
            <w:noWrap/>
            <w:vAlign w:val="center"/>
          </w:tcPr>
          <w:p>
            <w:pPr>
              <w:spacing w:line="240" w:lineRule="exact"/>
              <w:jc w:val="left"/>
              <w:rPr>
                <w:rFonts w:ascii="方正书宋_GBK" w:eastAsia="方正书宋_GBK"/>
                <w:sz w:val="18"/>
                <w:szCs w:val="18"/>
              </w:rPr>
            </w:pPr>
          </w:p>
        </w:tc>
        <w:tc>
          <w:tcPr>
            <w:tcW w:w="2976" w:type="dxa"/>
            <w:vMerge w:val="restart"/>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w:t>
            </w:r>
          </w:p>
        </w:tc>
        <w:tc>
          <w:tcPr>
            <w:tcW w:w="2976" w:type="dxa"/>
            <w:vMerge w:val="restart"/>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提升公共服务体系建设水平</w:t>
            </w:r>
          </w:p>
        </w:tc>
        <w:tc>
          <w:tcPr>
            <w:tcW w:w="1417"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监测点上报率</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85%</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1417"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公共技术服务平台新增数量（个）</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40" w:lineRule="exact"/>
              <w:jc w:val="left"/>
              <w:rPr>
                <w:rFonts w:ascii="方正书宋_GBK" w:eastAsia="方正书宋_GBK"/>
                <w:b/>
                <w:sz w:val="18"/>
                <w:szCs w:val="18"/>
              </w:rPr>
            </w:pPr>
          </w:p>
        </w:tc>
        <w:tc>
          <w:tcPr>
            <w:tcW w:w="12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2976" w:type="dxa"/>
            <w:vMerge w:val="continue"/>
            <w:noWrap/>
            <w:vAlign w:val="center"/>
          </w:tcPr>
          <w:p>
            <w:pPr>
              <w:spacing w:line="240" w:lineRule="exact"/>
              <w:jc w:val="left"/>
              <w:rPr>
                <w:rFonts w:ascii="方正书宋_GBK" w:eastAsia="方正书宋_GBK"/>
                <w:sz w:val="18"/>
                <w:szCs w:val="18"/>
              </w:rPr>
            </w:pPr>
          </w:p>
        </w:tc>
        <w:tc>
          <w:tcPr>
            <w:tcW w:w="1417" w:type="dxa"/>
            <w:noWrap/>
            <w:vAlign w:val="center"/>
          </w:tcPr>
          <w:p>
            <w:pPr>
              <w:spacing w:line="240" w:lineRule="exact"/>
              <w:jc w:val="left"/>
              <w:rPr>
                <w:rFonts w:ascii="方正书宋_GBK" w:eastAsia="方正书宋_GBK"/>
                <w:sz w:val="18"/>
                <w:szCs w:val="18"/>
              </w:rPr>
            </w:pPr>
            <w:r>
              <w:rPr>
                <w:rFonts w:hint="eastAsia" w:ascii="方正书宋_GBK" w:eastAsia="方正书宋_GBK"/>
                <w:sz w:val="18"/>
                <w:szCs w:val="18"/>
              </w:rPr>
              <w:t>平台网络服务企业数量（千个）</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1.8</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1.6</w:t>
            </w:r>
          </w:p>
        </w:tc>
        <w:tc>
          <w:tcPr>
            <w:tcW w:w="737" w:type="dxa"/>
            <w:noWrap/>
            <w:vAlign w:val="center"/>
          </w:tcPr>
          <w:p>
            <w:pPr>
              <w:spacing w:line="24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五、工信政务管理</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负责系统（内部）综合业务管理和机关（内部）综合事务管理。</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提升工业和信息化综合事务管理水平。</w:t>
            </w:r>
          </w:p>
        </w:tc>
        <w:tc>
          <w:tcPr>
            <w:tcW w:w="1417" w:type="dxa"/>
            <w:noWrap/>
            <w:vAlign w:val="center"/>
          </w:tcPr>
          <w:p>
            <w:pPr>
              <w:spacing w:line="200" w:lineRule="exact"/>
              <w:jc w:val="left"/>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5"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、综合业务管理</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制定部门发展战略和规划、指导系统业务活动和事业发展；装备和电子信息行业统计工作；新能源汽车推广应用工作；货车非法改装及双超治理工作；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企保合作，全市工业和信息化行业特有工种职业技能鉴定工作，以及全市履行禁止化学武器公约和专项资金监管、服务于支撑工业转型升级、工业强市、制造强市等工作的</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依法做好监控化学品日常监管和行政许可审批，完善工业和信息化政策法规体系建设，培育专业化人才，提升工业和信息化水平。</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综合业务管理工作完成率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6"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、综合事务管理</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保障机关正常工作高效运转</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综合事务管理工作完成情况</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95%</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六、制定政策性文件、编制全市年度规划计划</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贯彻国家、省墙改法规规章及政策；制定地方性墙改法规、规章和规范性文件。</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及时贯彻落实上级政策，切合实际制定地方法规规划。</w:t>
            </w:r>
          </w:p>
        </w:tc>
        <w:tc>
          <w:tcPr>
            <w:tcW w:w="1417" w:type="dxa"/>
            <w:noWrap/>
            <w:vAlign w:val="center"/>
          </w:tcPr>
          <w:p>
            <w:pPr>
              <w:spacing w:line="200" w:lineRule="exact"/>
              <w:jc w:val="left"/>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、编制发展规划、年度计划</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编制全市墙体材料革新发展规划和年度计划。</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完成年度计划和总体规划</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计划完成优质率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、落实、实施政策、计划</w:t>
            </w:r>
          </w:p>
        </w:tc>
        <w:tc>
          <w:tcPr>
            <w:tcW w:w="1276" w:type="dxa"/>
            <w:vMerge w:val="restart"/>
            <w:noWrap/>
            <w:vAlign w:val="center"/>
          </w:tcPr>
          <w:p>
            <w:pPr>
              <w:spacing w:line="200" w:lineRule="exact"/>
              <w:jc w:val="left"/>
              <w:rPr>
                <w:rFonts w:ascii="方正书宋_GBK" w:eastAsia="方正书宋_GBK"/>
                <w:sz w:val="18"/>
                <w:szCs w:val="18"/>
              </w:rPr>
            </w:pPr>
          </w:p>
        </w:tc>
        <w:tc>
          <w:tcPr>
            <w:tcW w:w="2976" w:type="dxa"/>
            <w:vMerge w:val="restart"/>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深入各县区实施工作检查和目标考核</w:t>
            </w:r>
          </w:p>
        </w:tc>
        <w:tc>
          <w:tcPr>
            <w:tcW w:w="2976" w:type="dxa"/>
            <w:vMerge w:val="restart"/>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年初开会安排全年工作；年中检查一次，年底考核一次。</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新墙材基金收缴比例</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00" w:lineRule="exact"/>
              <w:jc w:val="left"/>
              <w:rPr>
                <w:rFonts w:ascii="方正书宋_GBK" w:eastAsia="方正书宋_GBK"/>
                <w:b/>
                <w:sz w:val="18"/>
                <w:szCs w:val="18"/>
              </w:rPr>
            </w:pPr>
          </w:p>
        </w:tc>
        <w:tc>
          <w:tcPr>
            <w:tcW w:w="12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新墙材企业生产备案监管率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00" w:lineRule="exact"/>
              <w:jc w:val="left"/>
              <w:rPr>
                <w:rFonts w:ascii="方正书宋_GBK" w:eastAsia="方正书宋_GBK"/>
                <w:b/>
                <w:sz w:val="18"/>
                <w:szCs w:val="18"/>
              </w:rPr>
            </w:pPr>
          </w:p>
        </w:tc>
        <w:tc>
          <w:tcPr>
            <w:tcW w:w="12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新墙材产量和比例指标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00" w:lineRule="exact"/>
              <w:jc w:val="left"/>
              <w:rPr>
                <w:rFonts w:ascii="方正书宋_GBK" w:eastAsia="方正书宋_GBK"/>
                <w:b/>
                <w:sz w:val="18"/>
                <w:szCs w:val="18"/>
              </w:rPr>
            </w:pPr>
          </w:p>
        </w:tc>
        <w:tc>
          <w:tcPr>
            <w:tcW w:w="12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建设面积完成率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七、建设工程验收</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参与建筑工程竣工验收</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督查使用新型墙体材料</w:t>
            </w:r>
          </w:p>
        </w:tc>
        <w:tc>
          <w:tcPr>
            <w:tcW w:w="1417" w:type="dxa"/>
            <w:noWrap/>
            <w:vAlign w:val="center"/>
          </w:tcPr>
          <w:p>
            <w:pPr>
              <w:spacing w:line="200" w:lineRule="exact"/>
              <w:jc w:val="left"/>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、工程验收</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建筑工程现场查验新墙材使用情况</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达到建设工程应验尽验</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使用新墙材比率</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70%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八、墙体材料革新工作宣传推广</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负责墙体材料革新工作的宣传、信息交流、专业培训和新技术、新设备的推广。</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让全社会认识、使用新型墙材，从而节能利废。</w:t>
            </w:r>
          </w:p>
        </w:tc>
        <w:tc>
          <w:tcPr>
            <w:tcW w:w="1417" w:type="dxa"/>
            <w:noWrap/>
            <w:vAlign w:val="center"/>
          </w:tcPr>
          <w:p>
            <w:pPr>
              <w:spacing w:line="200" w:lineRule="exact"/>
              <w:jc w:val="left"/>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、墙体材料革新工作宣传</w:t>
            </w:r>
          </w:p>
        </w:tc>
        <w:tc>
          <w:tcPr>
            <w:tcW w:w="1276" w:type="dxa"/>
            <w:vMerge w:val="restart"/>
            <w:noWrap/>
            <w:vAlign w:val="center"/>
          </w:tcPr>
          <w:p>
            <w:pPr>
              <w:spacing w:line="200" w:lineRule="exact"/>
              <w:jc w:val="left"/>
              <w:rPr>
                <w:rFonts w:ascii="方正书宋_GBK" w:eastAsia="方正书宋_GBK"/>
                <w:sz w:val="18"/>
                <w:szCs w:val="18"/>
              </w:rPr>
            </w:pPr>
          </w:p>
        </w:tc>
        <w:tc>
          <w:tcPr>
            <w:tcW w:w="2976" w:type="dxa"/>
            <w:vMerge w:val="restart"/>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各种途径宣传、制作网页及其他方式信息交流</w:t>
            </w:r>
          </w:p>
        </w:tc>
        <w:tc>
          <w:tcPr>
            <w:tcW w:w="2976" w:type="dxa"/>
            <w:vMerge w:val="restart"/>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增强人们对新型墙体材料的认知度，普及推广新型墙体材料</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年制作宣传品份数</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100</w:t>
            </w:r>
            <w:r>
              <w:rPr>
                <w:rFonts w:hint="eastAsia" w:ascii="方正书宋_GBK" w:eastAsia="方正书宋_GBK"/>
                <w:sz w:val="18"/>
                <w:szCs w:val="18"/>
              </w:rPr>
              <w:t>份</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80-100</w:t>
            </w:r>
            <w:r>
              <w:rPr>
                <w:rFonts w:hint="eastAsia" w:ascii="方正书宋_GBK" w:eastAsia="方正书宋_GBK"/>
                <w:sz w:val="18"/>
                <w:szCs w:val="18"/>
              </w:rPr>
              <w:t>份</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60-80</w:t>
            </w:r>
            <w:r>
              <w:rPr>
                <w:rFonts w:hint="eastAsia" w:ascii="方正书宋_GBK" w:eastAsia="方正书宋_GBK"/>
                <w:sz w:val="18"/>
                <w:szCs w:val="18"/>
              </w:rPr>
              <w:t>份</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r>
              <w:rPr>
                <w:rFonts w:hint="eastAsia" w:ascii="方正书宋_GBK" w:eastAsia="方正书宋_GBK"/>
                <w:sz w:val="18"/>
                <w:szCs w:val="18"/>
              </w:rPr>
              <w:t>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00" w:lineRule="exact"/>
              <w:jc w:val="left"/>
              <w:rPr>
                <w:rFonts w:ascii="方正书宋_GBK" w:eastAsia="方正书宋_GBK"/>
                <w:b/>
                <w:sz w:val="18"/>
                <w:szCs w:val="18"/>
              </w:rPr>
            </w:pPr>
          </w:p>
        </w:tc>
        <w:tc>
          <w:tcPr>
            <w:tcW w:w="12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媒体宣传次数</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3</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2-3</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、新型墙体材料培训</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参加省办组织培训班；本级组织县区等相关工作人员进行培训</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学习、掌握国家墙材产业新政策、新技术、新设备、新产品。</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每年组织、参加培训考核情况</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2</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3</w:t>
            </w:r>
            <w:r>
              <w:rPr>
                <w:rFonts w:hint="eastAsia" w:ascii="方正书宋_GBK" w:eastAsia="方正书宋_GBK"/>
                <w:b/>
                <w:sz w:val="18"/>
                <w:szCs w:val="18"/>
              </w:rPr>
              <w:t>、举办推广会</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举办墙材革新新技术、新设备、新产品推广会</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推广普及新型墙体材料，尤其承是德尾矿综合利用建材产品</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每年组织推介会情况</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2</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1</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九、依法征收、管理、使用基金</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依法征收、管理和使用新墙材专项基金</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依法管理使用基金，引导社会节能利废。</w:t>
            </w:r>
          </w:p>
        </w:tc>
        <w:tc>
          <w:tcPr>
            <w:tcW w:w="1417" w:type="dxa"/>
            <w:noWrap/>
            <w:vAlign w:val="center"/>
          </w:tcPr>
          <w:p>
            <w:pPr>
              <w:spacing w:line="200" w:lineRule="exact"/>
              <w:jc w:val="left"/>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、征收、返退基金</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收缴、管理、返退基金。</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及时足额收缴基金。</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基金收取情况</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、依法使用基金</w:t>
            </w:r>
          </w:p>
        </w:tc>
        <w:tc>
          <w:tcPr>
            <w:tcW w:w="1276" w:type="dxa"/>
            <w:vMerge w:val="restart"/>
            <w:noWrap/>
            <w:vAlign w:val="center"/>
          </w:tcPr>
          <w:p>
            <w:pPr>
              <w:spacing w:line="200" w:lineRule="exact"/>
              <w:jc w:val="left"/>
              <w:rPr>
                <w:rFonts w:ascii="方正书宋_GBK" w:eastAsia="方正书宋_GBK"/>
                <w:sz w:val="18"/>
                <w:szCs w:val="18"/>
              </w:rPr>
            </w:pPr>
          </w:p>
        </w:tc>
        <w:tc>
          <w:tcPr>
            <w:tcW w:w="2976" w:type="dxa"/>
            <w:vMerge w:val="restart"/>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使用基金用于宣传、补助新技术、补助农村示范房、淘汰粘土砖补偿等。</w:t>
            </w:r>
          </w:p>
        </w:tc>
        <w:tc>
          <w:tcPr>
            <w:tcW w:w="2976" w:type="dxa"/>
            <w:vMerge w:val="restart"/>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保证基金全部用于墙改工作；</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新墙材项目补助</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00" w:lineRule="exact"/>
              <w:jc w:val="left"/>
              <w:rPr>
                <w:rFonts w:ascii="方正书宋_GBK" w:eastAsia="方正书宋_GBK"/>
                <w:b/>
                <w:sz w:val="18"/>
                <w:szCs w:val="18"/>
              </w:rPr>
            </w:pPr>
          </w:p>
        </w:tc>
        <w:tc>
          <w:tcPr>
            <w:tcW w:w="12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用于宣传的费用占返还总额的比例</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00" w:lineRule="exact"/>
              <w:jc w:val="left"/>
              <w:rPr>
                <w:rFonts w:ascii="方正书宋_GBK" w:eastAsia="方正书宋_GBK"/>
                <w:b/>
                <w:sz w:val="18"/>
                <w:szCs w:val="18"/>
              </w:rPr>
            </w:pPr>
          </w:p>
        </w:tc>
        <w:tc>
          <w:tcPr>
            <w:tcW w:w="12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财政返还基金比率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十、新墙材生产备案</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办理新墙材企业生产备案、新墙材企业管理。</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规范墙体材料生产企业和墙材市场。</w:t>
            </w:r>
          </w:p>
        </w:tc>
        <w:tc>
          <w:tcPr>
            <w:tcW w:w="1417" w:type="dxa"/>
            <w:noWrap/>
            <w:vAlign w:val="center"/>
          </w:tcPr>
          <w:p>
            <w:pPr>
              <w:spacing w:line="200" w:lineRule="exact"/>
              <w:jc w:val="left"/>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c>
          <w:tcPr>
            <w:tcW w:w="737" w:type="dxa"/>
            <w:noWrap/>
            <w:vAlign w:val="center"/>
          </w:tcPr>
          <w:p>
            <w:pPr>
              <w:spacing w:line="200" w:lineRule="exact"/>
              <w:jc w:val="center"/>
              <w:rPr>
                <w:rFonts w:ascii="方正书宋_GBK" w:eastAsia="方正书宋_GBK"/>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1</w:t>
            </w:r>
            <w:r>
              <w:rPr>
                <w:rFonts w:hint="eastAsia" w:ascii="方正书宋_GBK" w:eastAsia="方正书宋_GBK"/>
                <w:b/>
                <w:sz w:val="18"/>
                <w:szCs w:val="18"/>
              </w:rPr>
              <w:t>、新墙材备案</w:t>
            </w:r>
          </w:p>
        </w:tc>
        <w:tc>
          <w:tcPr>
            <w:tcW w:w="1276" w:type="dxa"/>
            <w:vMerge w:val="restart"/>
            <w:noWrap/>
            <w:vAlign w:val="center"/>
          </w:tcPr>
          <w:p>
            <w:pPr>
              <w:spacing w:line="200" w:lineRule="exact"/>
              <w:jc w:val="left"/>
              <w:rPr>
                <w:rFonts w:ascii="方正书宋_GBK" w:eastAsia="方正书宋_GBK"/>
                <w:sz w:val="18"/>
                <w:szCs w:val="18"/>
              </w:rPr>
            </w:pPr>
          </w:p>
        </w:tc>
        <w:tc>
          <w:tcPr>
            <w:tcW w:w="2976" w:type="dxa"/>
            <w:vMerge w:val="restart"/>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审核申请资料、带领专家到企业实地考核。到省办办理备案证书。</w:t>
            </w:r>
          </w:p>
        </w:tc>
        <w:tc>
          <w:tcPr>
            <w:tcW w:w="2976" w:type="dxa"/>
            <w:vMerge w:val="restart"/>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成功办理新墙材企业生产备案证</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省办备案批准率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00" w:lineRule="exact"/>
              <w:jc w:val="left"/>
              <w:rPr>
                <w:rFonts w:ascii="方正书宋_GBK" w:eastAsia="方正书宋_GBK"/>
                <w:b/>
                <w:sz w:val="18"/>
                <w:szCs w:val="18"/>
              </w:rPr>
            </w:pPr>
          </w:p>
        </w:tc>
        <w:tc>
          <w:tcPr>
            <w:tcW w:w="12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实地考核合格率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pPr>
              <w:spacing w:line="200" w:lineRule="exact"/>
              <w:jc w:val="left"/>
              <w:rPr>
                <w:rFonts w:ascii="方正书宋_GBK" w:eastAsia="方正书宋_GBK"/>
                <w:b/>
                <w:sz w:val="18"/>
                <w:szCs w:val="18"/>
              </w:rPr>
            </w:pPr>
          </w:p>
        </w:tc>
        <w:tc>
          <w:tcPr>
            <w:tcW w:w="12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2976" w:type="dxa"/>
            <w:vMerge w:val="continue"/>
            <w:noWrap/>
            <w:vAlign w:val="center"/>
          </w:tcPr>
          <w:p>
            <w:pPr>
              <w:spacing w:line="200" w:lineRule="exact"/>
              <w:jc w:val="left"/>
              <w:rPr>
                <w:rFonts w:ascii="方正书宋_GBK" w:eastAsia="方正书宋_GBK"/>
                <w:sz w:val="18"/>
                <w:szCs w:val="18"/>
              </w:rPr>
            </w:pP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申请材料合格率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pPr>
              <w:spacing w:line="200" w:lineRule="exact"/>
              <w:jc w:val="left"/>
              <w:rPr>
                <w:rFonts w:ascii="方正书宋_GBK" w:eastAsia="方正书宋_GBK"/>
                <w:b/>
                <w:sz w:val="18"/>
                <w:szCs w:val="18"/>
              </w:rPr>
            </w:pPr>
            <w:r>
              <w:rPr>
                <w:rFonts w:hint="eastAsia" w:ascii="方正书宋_GBK" w:eastAsia="方正书宋_GBK"/>
                <w:b/>
                <w:sz w:val="18"/>
                <w:szCs w:val="18"/>
              </w:rPr>
              <w:t>　　</w:t>
            </w:r>
            <w:r>
              <w:rPr>
                <w:rFonts w:ascii="方正书宋_GBK" w:eastAsia="方正书宋_GBK"/>
                <w:b/>
                <w:sz w:val="18"/>
                <w:szCs w:val="18"/>
              </w:rPr>
              <w:t>2</w:t>
            </w:r>
            <w:r>
              <w:rPr>
                <w:rFonts w:hint="eastAsia" w:ascii="方正书宋_GBK" w:eastAsia="方正书宋_GBK"/>
                <w:b/>
                <w:sz w:val="18"/>
                <w:szCs w:val="18"/>
              </w:rPr>
              <w:t>、统计报表</w:t>
            </w:r>
          </w:p>
        </w:tc>
        <w:tc>
          <w:tcPr>
            <w:tcW w:w="1276" w:type="dxa"/>
            <w:noWrap/>
            <w:vAlign w:val="center"/>
          </w:tcPr>
          <w:p>
            <w:pPr>
              <w:spacing w:line="200" w:lineRule="exact"/>
              <w:jc w:val="left"/>
              <w:rPr>
                <w:rFonts w:ascii="方正书宋_GBK" w:eastAsia="方正书宋_GBK"/>
                <w:sz w:val="18"/>
                <w:szCs w:val="18"/>
              </w:rPr>
            </w:pP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调研、统计报表</w:t>
            </w:r>
          </w:p>
        </w:tc>
        <w:tc>
          <w:tcPr>
            <w:tcW w:w="2976"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全面准确掌握全市墙材行业状况</w:t>
            </w:r>
          </w:p>
        </w:tc>
        <w:tc>
          <w:tcPr>
            <w:tcW w:w="1417" w:type="dxa"/>
            <w:noWrap/>
            <w:vAlign w:val="center"/>
          </w:tcPr>
          <w:p>
            <w:pPr>
              <w:spacing w:line="200" w:lineRule="exact"/>
              <w:jc w:val="left"/>
              <w:rPr>
                <w:rFonts w:ascii="方正书宋_GBK" w:eastAsia="方正书宋_GBK"/>
                <w:sz w:val="18"/>
                <w:szCs w:val="18"/>
              </w:rPr>
            </w:pPr>
            <w:r>
              <w:rPr>
                <w:rFonts w:hint="eastAsia" w:ascii="方正书宋_GBK" w:eastAsia="方正书宋_GBK"/>
                <w:sz w:val="18"/>
                <w:szCs w:val="18"/>
              </w:rPr>
              <w:t>统计报表优质率</w:t>
            </w:r>
          </w:p>
        </w:tc>
        <w:tc>
          <w:tcPr>
            <w:tcW w:w="737" w:type="dxa"/>
            <w:noWrap/>
            <w:vAlign w:val="center"/>
          </w:tcPr>
          <w:p>
            <w:pPr>
              <w:spacing w:line="200" w:lineRule="exact"/>
              <w:jc w:val="center"/>
              <w:rPr>
                <w:rFonts w:ascii="方正书宋_GBK" w:eastAsia="方正书宋_GBK"/>
                <w:sz w:val="18"/>
                <w:szCs w:val="18"/>
              </w:rPr>
            </w:pPr>
            <w:r>
              <w:rPr>
                <w:rFonts w:ascii="方正书宋_GBK" w:eastAsia="方正书宋_GBK"/>
                <w:sz w:val="18"/>
                <w:szCs w:val="18"/>
              </w:rPr>
              <w:t>100%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80%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c>
          <w:tcPr>
            <w:tcW w:w="737" w:type="dxa"/>
            <w:noWrap/>
            <w:vAlign w:val="center"/>
          </w:tcPr>
          <w:p>
            <w:pPr>
              <w:spacing w:line="200" w:lineRule="exact"/>
              <w:jc w:val="center"/>
              <w:rPr>
                <w:rFonts w:ascii="方正书宋_GBK" w:eastAsia="方正书宋_GBK"/>
                <w:sz w:val="18"/>
                <w:szCs w:val="18"/>
              </w:rPr>
            </w:pPr>
            <w:r>
              <w:rPr>
                <w:rFonts w:hint="eastAsia" w:ascii="方正书宋_GBK" w:eastAsia="方正书宋_GBK"/>
                <w:sz w:val="18"/>
                <w:szCs w:val="18"/>
              </w:rPr>
              <w:t>＜</w:t>
            </w:r>
            <w:r>
              <w:rPr>
                <w:rFonts w:ascii="方正书宋_GBK" w:eastAsia="方正书宋_GBK"/>
                <w:sz w:val="18"/>
                <w:szCs w:val="18"/>
              </w:rPr>
              <w:t>60%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ind w:firstLine="560"/>
        <w:rPr>
          <w:rFonts w:ascii="??_GB2312" w:hAnsi="??_GB2312" w:eastAsia="Times New Roman" w:cs="??_GB2312"/>
          <w:sz w:val="32"/>
          <w:szCs w:val="32"/>
        </w:rPr>
      </w:pPr>
    </w:p>
    <w:p>
      <w:pPr>
        <w:ind w:firstLine="560"/>
        <w:rPr>
          <w:rFonts w:ascii="??_GB2312" w:hAnsi="??_GB2312" w:eastAsia="Times New Roman" w:cs="??_GB2312"/>
          <w:sz w:val="32"/>
          <w:szCs w:val="32"/>
        </w:rPr>
      </w:pPr>
    </w:p>
    <w:p>
      <w:pPr>
        <w:ind w:firstLine="640" w:firstLineChars="200"/>
        <w:jc w:val="left"/>
        <w:outlineLvl w:val="0"/>
        <w:rPr>
          <w:rFonts w:ascii="??_GB2312" w:hAnsi="??_GB2312" w:eastAsia="Times New Roman" w:cs="??_GB2312"/>
          <w:b/>
          <w:sz w:val="32"/>
          <w:szCs w:val="32"/>
        </w:rPr>
      </w:pPr>
    </w:p>
    <w:tbl>
      <w:tblPr>
        <w:tblStyle w:val="8"/>
        <w:tblW w:w="14213" w:type="dxa"/>
        <w:tblInd w:w="-180" w:type="dxa"/>
        <w:tblLayout w:type="fixed"/>
        <w:tblCellMar>
          <w:top w:w="15" w:type="dxa"/>
          <w:left w:w="15" w:type="dxa"/>
          <w:bottom w:w="15" w:type="dxa"/>
          <w:right w:w="15" w:type="dxa"/>
        </w:tblCellMar>
      </w:tblPr>
      <w:tblGrid>
        <w:gridCol w:w="911"/>
        <w:gridCol w:w="2364"/>
        <w:gridCol w:w="3198"/>
        <w:gridCol w:w="2301"/>
        <w:gridCol w:w="2391"/>
        <w:gridCol w:w="872"/>
        <w:gridCol w:w="898"/>
        <w:gridCol w:w="711"/>
        <w:gridCol w:w="567"/>
      </w:tblGrid>
      <w:tr>
        <w:tblPrEx>
          <w:tblCellMar>
            <w:top w:w="15" w:type="dxa"/>
            <w:left w:w="15" w:type="dxa"/>
            <w:bottom w:w="15" w:type="dxa"/>
            <w:right w:w="15" w:type="dxa"/>
          </w:tblCellMar>
        </w:tblPrEx>
        <w:trPr>
          <w:trHeight w:val="285" w:hRule="atLeast"/>
        </w:trPr>
        <w:tc>
          <w:tcPr>
            <w:tcW w:w="911" w:type="dxa"/>
            <w:vAlign w:val="center"/>
          </w:tcPr>
          <w:p>
            <w:pPr>
              <w:rPr>
                <w:rFonts w:ascii="仿宋" w:hAnsi="仿宋" w:eastAsia="仿宋" w:cs="仿宋"/>
                <w:color w:val="000000"/>
                <w:sz w:val="16"/>
                <w:szCs w:val="16"/>
              </w:rPr>
            </w:pPr>
          </w:p>
        </w:tc>
        <w:tc>
          <w:tcPr>
            <w:tcW w:w="2364" w:type="dxa"/>
            <w:vAlign w:val="center"/>
          </w:tcPr>
          <w:p>
            <w:pPr>
              <w:rPr>
                <w:rFonts w:ascii="仿宋" w:hAnsi="仿宋" w:eastAsia="仿宋" w:cs="仿宋"/>
                <w:color w:val="000000"/>
                <w:sz w:val="16"/>
                <w:szCs w:val="16"/>
              </w:rPr>
            </w:pPr>
          </w:p>
        </w:tc>
        <w:tc>
          <w:tcPr>
            <w:tcW w:w="3198" w:type="dxa"/>
            <w:vAlign w:val="center"/>
          </w:tcPr>
          <w:p>
            <w:pPr>
              <w:rPr>
                <w:rFonts w:ascii="仿宋" w:hAnsi="仿宋" w:eastAsia="仿宋" w:cs="仿宋"/>
                <w:color w:val="000000"/>
                <w:sz w:val="16"/>
                <w:szCs w:val="16"/>
              </w:rPr>
            </w:pPr>
          </w:p>
        </w:tc>
        <w:tc>
          <w:tcPr>
            <w:tcW w:w="2301" w:type="dxa"/>
            <w:vAlign w:val="center"/>
          </w:tcPr>
          <w:p>
            <w:pPr>
              <w:rPr>
                <w:rFonts w:ascii="仿宋" w:hAnsi="仿宋" w:eastAsia="仿宋" w:cs="仿宋"/>
                <w:color w:val="000000"/>
                <w:sz w:val="16"/>
                <w:szCs w:val="16"/>
              </w:rPr>
            </w:pPr>
          </w:p>
        </w:tc>
        <w:tc>
          <w:tcPr>
            <w:tcW w:w="2391" w:type="dxa"/>
            <w:vAlign w:val="center"/>
          </w:tcPr>
          <w:p>
            <w:pPr>
              <w:rPr>
                <w:rFonts w:ascii="仿宋" w:hAnsi="仿宋" w:eastAsia="仿宋" w:cs="仿宋"/>
                <w:color w:val="000000"/>
                <w:sz w:val="16"/>
                <w:szCs w:val="16"/>
              </w:rPr>
            </w:pPr>
          </w:p>
        </w:tc>
        <w:tc>
          <w:tcPr>
            <w:tcW w:w="872" w:type="dxa"/>
            <w:vAlign w:val="center"/>
          </w:tcPr>
          <w:p>
            <w:pPr>
              <w:rPr>
                <w:rFonts w:ascii="仿宋" w:hAnsi="仿宋" w:eastAsia="仿宋" w:cs="仿宋"/>
                <w:color w:val="000000"/>
                <w:sz w:val="16"/>
                <w:szCs w:val="16"/>
              </w:rPr>
            </w:pPr>
          </w:p>
        </w:tc>
        <w:tc>
          <w:tcPr>
            <w:tcW w:w="898" w:type="dxa"/>
            <w:vAlign w:val="center"/>
          </w:tcPr>
          <w:p>
            <w:pPr>
              <w:rPr>
                <w:rFonts w:ascii="仿宋" w:hAnsi="仿宋" w:eastAsia="仿宋" w:cs="仿宋"/>
                <w:color w:val="000000"/>
                <w:sz w:val="16"/>
                <w:szCs w:val="16"/>
              </w:rPr>
            </w:pPr>
          </w:p>
        </w:tc>
        <w:tc>
          <w:tcPr>
            <w:tcW w:w="711" w:type="dxa"/>
            <w:vAlign w:val="center"/>
          </w:tcPr>
          <w:p>
            <w:pPr>
              <w:rPr>
                <w:rFonts w:ascii="仿宋" w:hAnsi="仿宋" w:eastAsia="仿宋" w:cs="仿宋"/>
                <w:color w:val="000000"/>
                <w:sz w:val="16"/>
                <w:szCs w:val="16"/>
              </w:rPr>
            </w:pPr>
          </w:p>
        </w:tc>
        <w:tc>
          <w:tcPr>
            <w:tcW w:w="567" w:type="dxa"/>
            <w:vAlign w:val="center"/>
          </w:tcPr>
          <w:p>
            <w:pPr>
              <w:rPr>
                <w:rFonts w:ascii="仿宋" w:hAnsi="仿宋" w:eastAsia="仿宋" w:cs="仿宋"/>
                <w:color w:val="000000"/>
                <w:sz w:val="16"/>
                <w:szCs w:val="16"/>
              </w:rPr>
            </w:pPr>
          </w:p>
        </w:tc>
      </w:tr>
      <w:bookmarkEnd w:id="0"/>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2" w:name="_Toc471398468"/>
      <w:r>
        <w:rPr>
          <w:rFonts w:ascii="Times New Roman" w:hAnsi="Times New Roman" w:eastAsia="方正仿宋_GBK" w:cs="Times New Roman"/>
          <w:sz w:val="32"/>
          <w:szCs w:val="24"/>
        </w:rPr>
        <w:t xml:space="preserve">   2019</w:t>
      </w:r>
      <w:r>
        <w:rPr>
          <w:rFonts w:hint="eastAsia" w:ascii="Times New Roman" w:hAnsi="Times New Roman" w:eastAsia="方正仿宋_GBK" w:cs="Times New Roman"/>
          <w:sz w:val="32"/>
          <w:szCs w:val="24"/>
        </w:rPr>
        <w:t>年，安排政府采购预算</w:t>
      </w:r>
      <w:r>
        <w:rPr>
          <w:rFonts w:ascii="Times New Roman" w:hAnsi="Times New Roman" w:eastAsia="方正仿宋_GBK" w:cs="Times New Roman"/>
          <w:sz w:val="32"/>
          <w:szCs w:val="24"/>
        </w:rPr>
        <w:t>9.92</w:t>
      </w:r>
      <w:r>
        <w:rPr>
          <w:rFonts w:hint="eastAsia" w:ascii="Times New Roman" w:hAnsi="Times New Roman" w:eastAsia="方正仿宋_GBK" w:cs="Times New Roman"/>
          <w:sz w:val="32"/>
          <w:szCs w:val="24"/>
        </w:rPr>
        <w:t>万元。具体内容见下表。</w:t>
      </w:r>
    </w:p>
    <w:p>
      <w:pPr>
        <w:jc w:val="center"/>
        <w:outlineLvl w:val="0"/>
        <w:rPr>
          <w:rFonts w:ascii="方正小标宋_GBK" w:eastAsia="方正小标宋_GBK"/>
          <w:sz w:val="32"/>
        </w:rPr>
      </w:pPr>
      <w:bookmarkStart w:id="3" w:name="_Toc536802299"/>
      <w:r>
        <w:rPr>
          <w:rFonts w:hint="eastAsia" w:ascii="方正小标宋_GBK" w:eastAsia="方正小标宋_GBK"/>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3"/>
        <w:gridCol w:w="1084"/>
        <w:gridCol w:w="1181"/>
        <w:gridCol w:w="939"/>
        <w:gridCol w:w="747"/>
        <w:gridCol w:w="747"/>
        <w:gridCol w:w="835"/>
        <w:gridCol w:w="948"/>
        <w:gridCol w:w="948"/>
        <w:gridCol w:w="948"/>
        <w:gridCol w:w="948"/>
        <w:gridCol w:w="951"/>
        <w:gridCol w:w="951"/>
        <w:gridCol w:w="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6" w:type="dxa"/>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方正小标宋_GBK"/>
                <w:sz w:val="24"/>
              </w:rPr>
            </w:pPr>
            <w:r>
              <w:rPr>
                <w:rFonts w:ascii="方正小标宋_GBK" w:eastAsia="方正小标宋_GBK"/>
                <w:sz w:val="24"/>
              </w:rPr>
              <w:t>593</w:t>
            </w:r>
            <w:r>
              <w:rPr>
                <w:rFonts w:hint="eastAsia" w:ascii="方正小标宋_GBK" w:eastAsia="方正小标宋_GBK"/>
                <w:sz w:val="24"/>
              </w:rPr>
              <w:t>承德市工业和信息化局</w:t>
            </w:r>
          </w:p>
        </w:tc>
        <w:tc>
          <w:tcPr>
            <w:tcW w:w="6602" w:type="dxa"/>
            <w:gridSpan w:val="7"/>
            <w:tcBorders>
              <w:top w:val="single" w:color="FFFFFF" w:sz="6" w:space="0"/>
              <w:left w:val="single" w:color="FFFFFF" w:sz="6" w:space="0"/>
              <w:right w:val="single" w:color="FFFFFF" w:sz="6" w:space="0"/>
            </w:tcBorders>
            <w:noWrap/>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17" w:type="dxa"/>
            <w:gridSpan w:val="2"/>
            <w:noWrap/>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181"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939"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47"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数量单位</w:t>
            </w:r>
          </w:p>
        </w:tc>
        <w:tc>
          <w:tcPr>
            <w:tcW w:w="747"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35"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602" w:type="dxa"/>
            <w:gridSpan w:val="7"/>
            <w:noWrap/>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33"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084"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181" w:type="dxa"/>
            <w:vMerge w:val="continue"/>
            <w:noWrap/>
            <w:vAlign w:val="center"/>
          </w:tcPr>
          <w:p>
            <w:pPr>
              <w:spacing w:line="300" w:lineRule="exact"/>
              <w:jc w:val="left"/>
              <w:outlineLvl w:val="0"/>
            </w:pPr>
          </w:p>
        </w:tc>
        <w:tc>
          <w:tcPr>
            <w:tcW w:w="939" w:type="dxa"/>
            <w:vMerge w:val="continue"/>
            <w:noWrap/>
            <w:vAlign w:val="center"/>
          </w:tcPr>
          <w:p>
            <w:pPr>
              <w:spacing w:line="300" w:lineRule="exact"/>
              <w:jc w:val="left"/>
              <w:outlineLvl w:val="0"/>
            </w:pPr>
          </w:p>
        </w:tc>
        <w:tc>
          <w:tcPr>
            <w:tcW w:w="747" w:type="dxa"/>
            <w:vMerge w:val="continue"/>
            <w:noWrap/>
            <w:vAlign w:val="center"/>
          </w:tcPr>
          <w:p>
            <w:pPr>
              <w:spacing w:line="300" w:lineRule="exact"/>
              <w:jc w:val="left"/>
              <w:outlineLvl w:val="0"/>
            </w:pPr>
          </w:p>
        </w:tc>
        <w:tc>
          <w:tcPr>
            <w:tcW w:w="747" w:type="dxa"/>
            <w:vMerge w:val="continue"/>
            <w:noWrap/>
            <w:vAlign w:val="center"/>
          </w:tcPr>
          <w:p>
            <w:pPr>
              <w:spacing w:line="300" w:lineRule="exact"/>
              <w:jc w:val="left"/>
              <w:outlineLvl w:val="0"/>
            </w:pPr>
          </w:p>
        </w:tc>
        <w:tc>
          <w:tcPr>
            <w:tcW w:w="835" w:type="dxa"/>
            <w:vMerge w:val="continue"/>
            <w:noWrap/>
            <w:vAlign w:val="center"/>
          </w:tcPr>
          <w:p>
            <w:pPr>
              <w:spacing w:line="300" w:lineRule="exact"/>
              <w:jc w:val="left"/>
              <w:outlineLvl w:val="0"/>
            </w:pPr>
          </w:p>
        </w:tc>
        <w:tc>
          <w:tcPr>
            <w:tcW w:w="948"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746" w:type="dxa"/>
            <w:gridSpan w:val="5"/>
            <w:noWrap/>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908" w:type="dxa"/>
            <w:vMerge w:val="restart"/>
            <w:noWrap/>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33" w:type="dxa"/>
            <w:vMerge w:val="continue"/>
            <w:noWrap/>
            <w:vAlign w:val="center"/>
          </w:tcPr>
          <w:p>
            <w:pPr>
              <w:spacing w:line="300" w:lineRule="exact"/>
              <w:jc w:val="left"/>
              <w:outlineLvl w:val="0"/>
            </w:pPr>
          </w:p>
        </w:tc>
        <w:tc>
          <w:tcPr>
            <w:tcW w:w="1084" w:type="dxa"/>
            <w:vMerge w:val="continue"/>
            <w:noWrap/>
            <w:vAlign w:val="center"/>
          </w:tcPr>
          <w:p>
            <w:pPr>
              <w:spacing w:line="300" w:lineRule="exact"/>
              <w:jc w:val="left"/>
              <w:outlineLvl w:val="0"/>
            </w:pPr>
          </w:p>
        </w:tc>
        <w:tc>
          <w:tcPr>
            <w:tcW w:w="1181" w:type="dxa"/>
            <w:vMerge w:val="continue"/>
            <w:noWrap/>
            <w:vAlign w:val="center"/>
          </w:tcPr>
          <w:p>
            <w:pPr>
              <w:spacing w:line="300" w:lineRule="exact"/>
              <w:jc w:val="left"/>
              <w:outlineLvl w:val="0"/>
            </w:pPr>
          </w:p>
        </w:tc>
        <w:tc>
          <w:tcPr>
            <w:tcW w:w="939" w:type="dxa"/>
            <w:vMerge w:val="continue"/>
            <w:noWrap/>
            <w:vAlign w:val="center"/>
          </w:tcPr>
          <w:p>
            <w:pPr>
              <w:spacing w:line="300" w:lineRule="exact"/>
              <w:jc w:val="left"/>
              <w:outlineLvl w:val="0"/>
            </w:pPr>
          </w:p>
        </w:tc>
        <w:tc>
          <w:tcPr>
            <w:tcW w:w="747" w:type="dxa"/>
            <w:vMerge w:val="continue"/>
            <w:noWrap/>
            <w:vAlign w:val="center"/>
          </w:tcPr>
          <w:p>
            <w:pPr>
              <w:spacing w:line="300" w:lineRule="exact"/>
              <w:jc w:val="left"/>
              <w:outlineLvl w:val="0"/>
            </w:pPr>
          </w:p>
        </w:tc>
        <w:tc>
          <w:tcPr>
            <w:tcW w:w="747" w:type="dxa"/>
            <w:vMerge w:val="continue"/>
            <w:noWrap/>
            <w:vAlign w:val="center"/>
          </w:tcPr>
          <w:p>
            <w:pPr>
              <w:spacing w:line="300" w:lineRule="exact"/>
              <w:jc w:val="left"/>
              <w:outlineLvl w:val="0"/>
            </w:pPr>
          </w:p>
        </w:tc>
        <w:tc>
          <w:tcPr>
            <w:tcW w:w="835" w:type="dxa"/>
            <w:vMerge w:val="continue"/>
            <w:noWrap/>
            <w:vAlign w:val="center"/>
          </w:tcPr>
          <w:p>
            <w:pPr>
              <w:spacing w:line="300" w:lineRule="exact"/>
              <w:jc w:val="left"/>
              <w:outlineLvl w:val="0"/>
            </w:pPr>
          </w:p>
        </w:tc>
        <w:tc>
          <w:tcPr>
            <w:tcW w:w="948" w:type="dxa"/>
            <w:vMerge w:val="continue"/>
            <w:noWrap/>
            <w:vAlign w:val="center"/>
          </w:tcPr>
          <w:p>
            <w:pPr>
              <w:spacing w:line="300" w:lineRule="exact"/>
              <w:jc w:val="left"/>
              <w:outlineLvl w:val="0"/>
            </w:pPr>
          </w:p>
        </w:tc>
        <w:tc>
          <w:tcPr>
            <w:tcW w:w="948" w:type="dxa"/>
            <w:noWrap/>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48" w:type="dxa"/>
            <w:noWrap/>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948" w:type="dxa"/>
            <w:noWrap/>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951" w:type="dxa"/>
            <w:noWrap/>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951" w:type="dxa"/>
            <w:noWrap/>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908" w:type="dxa"/>
            <w:vMerge w:val="continue"/>
            <w:noWrap/>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noWrap/>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084" w:type="dxa"/>
            <w:noWrap/>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220.47</w:t>
            </w:r>
            <w:bookmarkStart w:id="4" w:name="_GoBack"/>
            <w:bookmarkEnd w:id="4"/>
          </w:p>
        </w:tc>
        <w:tc>
          <w:tcPr>
            <w:tcW w:w="1181" w:type="dxa"/>
            <w:noWrap/>
            <w:vAlign w:val="center"/>
          </w:tcPr>
          <w:p>
            <w:pPr>
              <w:spacing w:line="300" w:lineRule="exact"/>
              <w:jc w:val="left"/>
              <w:rPr>
                <w:rFonts w:ascii="方正书宋_GBK" w:eastAsia="方正书宋_GBK"/>
                <w:b/>
              </w:rPr>
            </w:pPr>
          </w:p>
        </w:tc>
        <w:tc>
          <w:tcPr>
            <w:tcW w:w="939" w:type="dxa"/>
            <w:noWrap/>
            <w:vAlign w:val="center"/>
          </w:tcPr>
          <w:p>
            <w:pPr>
              <w:spacing w:line="300" w:lineRule="exact"/>
              <w:jc w:val="left"/>
              <w:rPr>
                <w:rFonts w:ascii="方正书宋_GBK" w:eastAsia="方正书宋_GBK"/>
                <w:b/>
              </w:rPr>
            </w:pPr>
          </w:p>
        </w:tc>
        <w:tc>
          <w:tcPr>
            <w:tcW w:w="747" w:type="dxa"/>
            <w:noWrap/>
            <w:vAlign w:val="center"/>
          </w:tcPr>
          <w:p>
            <w:pPr>
              <w:spacing w:line="300" w:lineRule="exact"/>
              <w:jc w:val="left"/>
              <w:rPr>
                <w:rFonts w:ascii="方正书宋_GBK" w:eastAsia="方正书宋_GBK"/>
                <w:b/>
              </w:rPr>
            </w:pPr>
          </w:p>
        </w:tc>
        <w:tc>
          <w:tcPr>
            <w:tcW w:w="747" w:type="dxa"/>
            <w:noWrap/>
            <w:vAlign w:val="center"/>
          </w:tcPr>
          <w:p>
            <w:pPr>
              <w:spacing w:line="300" w:lineRule="exact"/>
              <w:jc w:val="right"/>
              <w:rPr>
                <w:rFonts w:ascii="方正书宋_GBK" w:eastAsia="方正书宋_GBK"/>
                <w:b/>
              </w:rPr>
            </w:pPr>
          </w:p>
        </w:tc>
        <w:tc>
          <w:tcPr>
            <w:tcW w:w="835" w:type="dxa"/>
            <w:noWrap/>
            <w:vAlign w:val="center"/>
          </w:tcPr>
          <w:p>
            <w:pPr>
              <w:spacing w:line="300" w:lineRule="exact"/>
              <w:jc w:val="right"/>
              <w:rPr>
                <w:rFonts w:ascii="方正书宋_GBK" w:eastAsia="方正书宋_GBK"/>
                <w:b/>
              </w:rPr>
            </w:pPr>
          </w:p>
        </w:tc>
        <w:tc>
          <w:tcPr>
            <w:tcW w:w="948" w:type="dxa"/>
            <w:noWrap/>
            <w:vAlign w:val="center"/>
          </w:tcPr>
          <w:p>
            <w:pPr>
              <w:spacing w:line="300" w:lineRule="exact"/>
              <w:jc w:val="right"/>
              <w:rPr>
                <w:rFonts w:ascii="方正书宋_GBK" w:eastAsia="方正书宋_GBK"/>
                <w:b/>
              </w:rPr>
            </w:pPr>
            <w:r>
              <w:rPr>
                <w:rFonts w:ascii="方正书宋_GBK" w:eastAsia="方正书宋_GBK"/>
                <w:b/>
              </w:rPr>
              <w:t>9.92</w:t>
            </w:r>
          </w:p>
        </w:tc>
        <w:tc>
          <w:tcPr>
            <w:tcW w:w="948" w:type="dxa"/>
            <w:noWrap/>
            <w:vAlign w:val="center"/>
          </w:tcPr>
          <w:p>
            <w:pPr>
              <w:spacing w:line="300" w:lineRule="exact"/>
              <w:jc w:val="right"/>
              <w:rPr>
                <w:rFonts w:ascii="方正书宋_GBK" w:eastAsia="方正书宋_GBK"/>
                <w:b/>
              </w:rPr>
            </w:pPr>
            <w:r>
              <w:rPr>
                <w:rFonts w:ascii="方正书宋_GBK" w:eastAsia="方正书宋_GBK"/>
                <w:b/>
              </w:rPr>
              <w:t>9.92</w:t>
            </w:r>
          </w:p>
        </w:tc>
        <w:tc>
          <w:tcPr>
            <w:tcW w:w="948" w:type="dxa"/>
            <w:noWrap/>
            <w:vAlign w:val="center"/>
          </w:tcPr>
          <w:p>
            <w:pPr>
              <w:spacing w:line="300" w:lineRule="exact"/>
              <w:jc w:val="right"/>
              <w:rPr>
                <w:rFonts w:ascii="方正书宋_GBK" w:eastAsia="方正书宋_GBK"/>
                <w:b/>
              </w:rPr>
            </w:pPr>
            <w:r>
              <w:rPr>
                <w:rFonts w:ascii="方正书宋_GBK" w:eastAsia="方正书宋_GBK"/>
                <w:b/>
              </w:rPr>
              <w:t>9.92</w:t>
            </w:r>
          </w:p>
        </w:tc>
        <w:tc>
          <w:tcPr>
            <w:tcW w:w="948" w:type="dxa"/>
            <w:noWrap/>
            <w:vAlign w:val="center"/>
          </w:tcPr>
          <w:p>
            <w:pPr>
              <w:spacing w:line="300" w:lineRule="exact"/>
              <w:jc w:val="right"/>
              <w:rPr>
                <w:rFonts w:ascii="方正书宋_GBK" w:eastAsia="方正书宋_GBK"/>
                <w:b/>
              </w:rPr>
            </w:pPr>
          </w:p>
        </w:tc>
        <w:tc>
          <w:tcPr>
            <w:tcW w:w="951" w:type="dxa"/>
            <w:noWrap/>
            <w:vAlign w:val="center"/>
          </w:tcPr>
          <w:p>
            <w:pPr>
              <w:spacing w:line="300" w:lineRule="exact"/>
              <w:jc w:val="right"/>
              <w:rPr>
                <w:rFonts w:ascii="方正书宋_GBK" w:eastAsia="方正书宋_GBK"/>
                <w:b/>
              </w:rPr>
            </w:pPr>
          </w:p>
        </w:tc>
        <w:tc>
          <w:tcPr>
            <w:tcW w:w="951" w:type="dxa"/>
            <w:noWrap/>
            <w:vAlign w:val="center"/>
          </w:tcPr>
          <w:p>
            <w:pPr>
              <w:spacing w:line="300" w:lineRule="exact"/>
              <w:jc w:val="right"/>
              <w:rPr>
                <w:rFonts w:ascii="方正书宋_GBK" w:eastAsia="方正书宋_GBK"/>
                <w:b/>
              </w:rPr>
            </w:pPr>
          </w:p>
        </w:tc>
        <w:tc>
          <w:tcPr>
            <w:tcW w:w="908"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noWrap/>
            <w:vAlign w:val="center"/>
          </w:tcPr>
          <w:p>
            <w:pPr>
              <w:spacing w:line="300" w:lineRule="exact"/>
              <w:jc w:val="center"/>
              <w:rPr>
                <w:rFonts w:ascii="方正书宋_GBK" w:eastAsia="方正书宋_GBK"/>
                <w:b/>
              </w:rPr>
            </w:pPr>
            <w:r>
              <w:rPr>
                <w:rFonts w:hint="eastAsia" w:ascii="方正书宋_GBK" w:eastAsia="方正书宋_GBK"/>
                <w:b/>
              </w:rPr>
              <w:t>承德市工业和信息化局小计</w:t>
            </w:r>
          </w:p>
        </w:tc>
        <w:tc>
          <w:tcPr>
            <w:tcW w:w="1084" w:type="dxa"/>
            <w:noWrap/>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220.47</w:t>
            </w:r>
          </w:p>
        </w:tc>
        <w:tc>
          <w:tcPr>
            <w:tcW w:w="1181" w:type="dxa"/>
            <w:noWrap/>
            <w:vAlign w:val="center"/>
          </w:tcPr>
          <w:p>
            <w:pPr>
              <w:spacing w:line="300" w:lineRule="exact"/>
              <w:jc w:val="left"/>
              <w:rPr>
                <w:rFonts w:ascii="方正书宋_GBK" w:eastAsia="方正书宋_GBK"/>
                <w:b/>
              </w:rPr>
            </w:pPr>
          </w:p>
        </w:tc>
        <w:tc>
          <w:tcPr>
            <w:tcW w:w="939" w:type="dxa"/>
            <w:noWrap/>
            <w:vAlign w:val="center"/>
          </w:tcPr>
          <w:p>
            <w:pPr>
              <w:spacing w:line="300" w:lineRule="exact"/>
              <w:jc w:val="left"/>
              <w:rPr>
                <w:rFonts w:ascii="方正书宋_GBK" w:eastAsia="方正书宋_GBK"/>
                <w:b/>
              </w:rPr>
            </w:pPr>
          </w:p>
        </w:tc>
        <w:tc>
          <w:tcPr>
            <w:tcW w:w="747" w:type="dxa"/>
            <w:noWrap/>
            <w:vAlign w:val="center"/>
          </w:tcPr>
          <w:p>
            <w:pPr>
              <w:spacing w:line="300" w:lineRule="exact"/>
              <w:jc w:val="left"/>
              <w:rPr>
                <w:rFonts w:ascii="方正书宋_GBK" w:eastAsia="方正书宋_GBK"/>
                <w:b/>
              </w:rPr>
            </w:pPr>
          </w:p>
        </w:tc>
        <w:tc>
          <w:tcPr>
            <w:tcW w:w="747" w:type="dxa"/>
            <w:noWrap/>
            <w:vAlign w:val="center"/>
          </w:tcPr>
          <w:p>
            <w:pPr>
              <w:spacing w:line="300" w:lineRule="exact"/>
              <w:jc w:val="right"/>
              <w:rPr>
                <w:rFonts w:ascii="方正书宋_GBK" w:eastAsia="方正书宋_GBK"/>
                <w:b/>
              </w:rPr>
            </w:pPr>
          </w:p>
        </w:tc>
        <w:tc>
          <w:tcPr>
            <w:tcW w:w="835" w:type="dxa"/>
            <w:noWrap/>
            <w:vAlign w:val="center"/>
          </w:tcPr>
          <w:p>
            <w:pPr>
              <w:spacing w:line="300" w:lineRule="exact"/>
              <w:jc w:val="right"/>
              <w:rPr>
                <w:rFonts w:ascii="方正书宋_GBK" w:eastAsia="方正书宋_GBK"/>
                <w:b/>
              </w:rPr>
            </w:pPr>
          </w:p>
        </w:tc>
        <w:tc>
          <w:tcPr>
            <w:tcW w:w="948" w:type="dxa"/>
            <w:noWrap/>
            <w:vAlign w:val="center"/>
          </w:tcPr>
          <w:p>
            <w:pPr>
              <w:spacing w:line="300" w:lineRule="exact"/>
              <w:jc w:val="right"/>
              <w:rPr>
                <w:rFonts w:ascii="方正书宋_GBK" w:eastAsia="方正书宋_GBK"/>
                <w:b/>
              </w:rPr>
            </w:pPr>
            <w:r>
              <w:rPr>
                <w:rFonts w:ascii="方正书宋_GBK" w:eastAsia="方正书宋_GBK"/>
                <w:b/>
              </w:rPr>
              <w:t>9.92</w:t>
            </w:r>
          </w:p>
        </w:tc>
        <w:tc>
          <w:tcPr>
            <w:tcW w:w="948" w:type="dxa"/>
            <w:noWrap/>
            <w:vAlign w:val="center"/>
          </w:tcPr>
          <w:p>
            <w:pPr>
              <w:spacing w:line="300" w:lineRule="exact"/>
              <w:jc w:val="right"/>
              <w:rPr>
                <w:rFonts w:ascii="方正书宋_GBK" w:eastAsia="方正书宋_GBK"/>
                <w:b/>
              </w:rPr>
            </w:pPr>
            <w:r>
              <w:rPr>
                <w:rFonts w:ascii="方正书宋_GBK" w:eastAsia="方正书宋_GBK"/>
                <w:b/>
              </w:rPr>
              <w:t>9.92</w:t>
            </w:r>
          </w:p>
        </w:tc>
        <w:tc>
          <w:tcPr>
            <w:tcW w:w="948" w:type="dxa"/>
            <w:noWrap/>
            <w:vAlign w:val="center"/>
          </w:tcPr>
          <w:p>
            <w:pPr>
              <w:spacing w:line="300" w:lineRule="exact"/>
              <w:jc w:val="right"/>
              <w:rPr>
                <w:rFonts w:ascii="方正书宋_GBK" w:eastAsia="方正书宋_GBK"/>
                <w:b/>
              </w:rPr>
            </w:pPr>
            <w:r>
              <w:rPr>
                <w:rFonts w:ascii="方正书宋_GBK" w:eastAsia="方正书宋_GBK"/>
                <w:b/>
              </w:rPr>
              <w:t>9.92</w:t>
            </w:r>
          </w:p>
        </w:tc>
        <w:tc>
          <w:tcPr>
            <w:tcW w:w="948" w:type="dxa"/>
            <w:noWrap/>
            <w:vAlign w:val="center"/>
          </w:tcPr>
          <w:p>
            <w:pPr>
              <w:spacing w:line="300" w:lineRule="exact"/>
              <w:jc w:val="right"/>
              <w:rPr>
                <w:rFonts w:ascii="方正书宋_GBK" w:eastAsia="方正书宋_GBK"/>
                <w:b/>
              </w:rPr>
            </w:pPr>
          </w:p>
        </w:tc>
        <w:tc>
          <w:tcPr>
            <w:tcW w:w="951" w:type="dxa"/>
            <w:noWrap/>
            <w:vAlign w:val="center"/>
          </w:tcPr>
          <w:p>
            <w:pPr>
              <w:spacing w:line="300" w:lineRule="exact"/>
              <w:jc w:val="right"/>
              <w:rPr>
                <w:rFonts w:ascii="方正书宋_GBK" w:eastAsia="方正书宋_GBK"/>
                <w:b/>
              </w:rPr>
            </w:pPr>
          </w:p>
        </w:tc>
        <w:tc>
          <w:tcPr>
            <w:tcW w:w="951" w:type="dxa"/>
            <w:noWrap/>
            <w:vAlign w:val="center"/>
          </w:tcPr>
          <w:p>
            <w:pPr>
              <w:spacing w:line="300" w:lineRule="exact"/>
              <w:jc w:val="right"/>
              <w:rPr>
                <w:rFonts w:ascii="方正书宋_GBK" w:eastAsia="方正书宋_GBK"/>
                <w:b/>
              </w:rPr>
            </w:pPr>
          </w:p>
        </w:tc>
        <w:tc>
          <w:tcPr>
            <w:tcW w:w="908" w:type="dxa"/>
            <w:noWrap/>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noWrap/>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84" w:type="dxa"/>
            <w:noWrap/>
            <w:vAlign w:val="center"/>
          </w:tcPr>
          <w:p>
            <w:pPr>
              <w:spacing w:line="300" w:lineRule="exact"/>
              <w:jc w:val="right"/>
              <w:rPr>
                <w:rFonts w:ascii="方正书宋_GBK" w:eastAsia="方正书宋_GBK"/>
              </w:rPr>
            </w:pPr>
            <w:r>
              <w:rPr>
                <w:rFonts w:ascii="方正书宋_GBK" w:eastAsia="方正书宋_GBK"/>
              </w:rPr>
              <w:t>220.47</w:t>
            </w:r>
          </w:p>
        </w:tc>
        <w:tc>
          <w:tcPr>
            <w:tcW w:w="1181" w:type="dxa"/>
            <w:noWrap/>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939" w:type="dxa"/>
            <w:noWrap/>
            <w:vAlign w:val="center"/>
          </w:tcPr>
          <w:p>
            <w:pPr>
              <w:spacing w:line="300" w:lineRule="exact"/>
              <w:jc w:val="left"/>
              <w:rPr>
                <w:rFonts w:ascii="方正书宋_GBK" w:eastAsia="方正书宋_GBK"/>
              </w:rPr>
            </w:pPr>
            <w:r>
              <w:rPr>
                <w:rFonts w:ascii="方正书宋_GBK" w:eastAsia="方正书宋_GBK"/>
              </w:rPr>
              <w:t>A020101</w:t>
            </w:r>
          </w:p>
        </w:tc>
        <w:tc>
          <w:tcPr>
            <w:tcW w:w="747" w:type="dxa"/>
            <w:noWrap/>
            <w:vAlign w:val="center"/>
          </w:tcPr>
          <w:p>
            <w:pPr>
              <w:spacing w:line="300" w:lineRule="exact"/>
              <w:jc w:val="left"/>
              <w:rPr>
                <w:rFonts w:ascii="方正书宋_GBK" w:eastAsia="方正书宋_GBK"/>
              </w:rPr>
            </w:pPr>
          </w:p>
        </w:tc>
        <w:tc>
          <w:tcPr>
            <w:tcW w:w="747" w:type="dxa"/>
            <w:noWrap/>
            <w:vAlign w:val="center"/>
          </w:tcPr>
          <w:p>
            <w:pPr>
              <w:spacing w:line="300" w:lineRule="exact"/>
              <w:jc w:val="right"/>
              <w:rPr>
                <w:rFonts w:ascii="方正书宋_GBK" w:eastAsia="方正书宋_GBK"/>
              </w:rPr>
            </w:pPr>
            <w:r>
              <w:rPr>
                <w:rFonts w:ascii="方正书宋_GBK" w:eastAsia="方正书宋_GBK"/>
              </w:rPr>
              <w:t>8.00</w:t>
            </w:r>
          </w:p>
        </w:tc>
        <w:tc>
          <w:tcPr>
            <w:tcW w:w="835" w:type="dxa"/>
            <w:noWrap/>
            <w:vAlign w:val="center"/>
          </w:tcPr>
          <w:p>
            <w:pPr>
              <w:spacing w:line="300" w:lineRule="exact"/>
              <w:jc w:val="right"/>
              <w:rPr>
                <w:rFonts w:ascii="方正书宋_GBK" w:eastAsia="方正书宋_GBK"/>
              </w:rPr>
            </w:pPr>
            <w:r>
              <w:rPr>
                <w:rFonts w:ascii="方正书宋_GBK" w:eastAsia="方正书宋_GBK"/>
              </w:rPr>
              <w:t>0.48</w:t>
            </w:r>
          </w:p>
        </w:tc>
        <w:tc>
          <w:tcPr>
            <w:tcW w:w="948" w:type="dxa"/>
            <w:noWrap/>
            <w:vAlign w:val="center"/>
          </w:tcPr>
          <w:p>
            <w:pPr>
              <w:spacing w:line="300" w:lineRule="exact"/>
              <w:jc w:val="right"/>
              <w:rPr>
                <w:rFonts w:ascii="方正书宋_GBK" w:eastAsia="方正书宋_GBK"/>
              </w:rPr>
            </w:pPr>
            <w:r>
              <w:rPr>
                <w:rFonts w:ascii="方正书宋_GBK" w:eastAsia="方正书宋_GBK"/>
              </w:rPr>
              <w:t>3.84</w:t>
            </w:r>
          </w:p>
        </w:tc>
        <w:tc>
          <w:tcPr>
            <w:tcW w:w="948" w:type="dxa"/>
            <w:noWrap/>
            <w:vAlign w:val="center"/>
          </w:tcPr>
          <w:p>
            <w:pPr>
              <w:spacing w:line="300" w:lineRule="exact"/>
              <w:jc w:val="right"/>
              <w:rPr>
                <w:rFonts w:ascii="方正书宋_GBK" w:eastAsia="方正书宋_GBK"/>
              </w:rPr>
            </w:pPr>
            <w:r>
              <w:rPr>
                <w:rFonts w:ascii="方正书宋_GBK" w:eastAsia="方正书宋_GBK"/>
              </w:rPr>
              <w:t>3.84</w:t>
            </w:r>
          </w:p>
        </w:tc>
        <w:tc>
          <w:tcPr>
            <w:tcW w:w="948" w:type="dxa"/>
            <w:noWrap/>
            <w:vAlign w:val="center"/>
          </w:tcPr>
          <w:p>
            <w:pPr>
              <w:spacing w:line="300" w:lineRule="exact"/>
              <w:jc w:val="right"/>
              <w:rPr>
                <w:rFonts w:ascii="方正书宋_GBK" w:eastAsia="方正书宋_GBK"/>
              </w:rPr>
            </w:pPr>
            <w:r>
              <w:rPr>
                <w:rFonts w:ascii="方正书宋_GBK" w:eastAsia="方正书宋_GBK"/>
              </w:rPr>
              <w:t>3.84</w:t>
            </w:r>
          </w:p>
        </w:tc>
        <w:tc>
          <w:tcPr>
            <w:tcW w:w="948"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08"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33" w:type="dxa"/>
            <w:noWrap/>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84" w:type="dxa"/>
            <w:noWrap/>
            <w:vAlign w:val="center"/>
          </w:tcPr>
          <w:p>
            <w:pPr>
              <w:spacing w:line="300" w:lineRule="exact"/>
              <w:jc w:val="right"/>
              <w:rPr>
                <w:rFonts w:ascii="方正书宋_GBK" w:eastAsia="方正书宋_GBK"/>
              </w:rPr>
            </w:pPr>
            <w:r>
              <w:rPr>
                <w:rFonts w:ascii="方正书宋_GBK" w:eastAsia="方正书宋_GBK"/>
              </w:rPr>
              <w:t>220.47</w:t>
            </w:r>
          </w:p>
        </w:tc>
        <w:tc>
          <w:tcPr>
            <w:tcW w:w="1181" w:type="dxa"/>
            <w:noWrap/>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939" w:type="dxa"/>
            <w:noWrap/>
            <w:vAlign w:val="center"/>
          </w:tcPr>
          <w:p>
            <w:pPr>
              <w:spacing w:line="300" w:lineRule="exact"/>
              <w:jc w:val="left"/>
              <w:rPr>
                <w:rFonts w:ascii="方正书宋_GBK" w:eastAsia="方正书宋_GBK"/>
              </w:rPr>
            </w:pPr>
            <w:r>
              <w:rPr>
                <w:rFonts w:ascii="方正书宋_GBK" w:eastAsia="方正书宋_GBK"/>
              </w:rPr>
              <w:t>A02010601</w:t>
            </w:r>
          </w:p>
        </w:tc>
        <w:tc>
          <w:tcPr>
            <w:tcW w:w="747" w:type="dxa"/>
            <w:noWrap/>
            <w:vAlign w:val="center"/>
          </w:tcPr>
          <w:p>
            <w:pPr>
              <w:spacing w:line="300" w:lineRule="exact"/>
              <w:jc w:val="left"/>
              <w:rPr>
                <w:rFonts w:ascii="方正书宋_GBK" w:eastAsia="方正书宋_GBK"/>
              </w:rPr>
            </w:pPr>
          </w:p>
        </w:tc>
        <w:tc>
          <w:tcPr>
            <w:tcW w:w="747" w:type="dxa"/>
            <w:noWrap/>
            <w:vAlign w:val="center"/>
          </w:tcPr>
          <w:p>
            <w:pPr>
              <w:spacing w:line="300" w:lineRule="exact"/>
              <w:jc w:val="right"/>
              <w:rPr>
                <w:rFonts w:ascii="方正书宋_GBK" w:eastAsia="方正书宋_GBK"/>
              </w:rPr>
            </w:pPr>
            <w:r>
              <w:rPr>
                <w:rFonts w:ascii="方正书宋_GBK" w:eastAsia="方正书宋_GBK"/>
              </w:rPr>
              <w:t>5.00</w:t>
            </w:r>
          </w:p>
        </w:tc>
        <w:tc>
          <w:tcPr>
            <w:tcW w:w="835" w:type="dxa"/>
            <w:noWrap/>
            <w:vAlign w:val="center"/>
          </w:tcPr>
          <w:p>
            <w:pPr>
              <w:spacing w:line="300" w:lineRule="exact"/>
              <w:jc w:val="right"/>
              <w:rPr>
                <w:rFonts w:ascii="方正书宋_GBK" w:eastAsia="方正书宋_GBK"/>
              </w:rPr>
            </w:pPr>
            <w:r>
              <w:rPr>
                <w:rFonts w:ascii="方正书宋_GBK" w:eastAsia="方正书宋_GBK"/>
              </w:rPr>
              <w:t>0.20</w:t>
            </w:r>
          </w:p>
        </w:tc>
        <w:tc>
          <w:tcPr>
            <w:tcW w:w="948"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08"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noWrap/>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84" w:type="dxa"/>
            <w:noWrap/>
            <w:vAlign w:val="center"/>
          </w:tcPr>
          <w:p>
            <w:pPr>
              <w:spacing w:line="300" w:lineRule="exact"/>
              <w:jc w:val="right"/>
              <w:rPr>
                <w:rFonts w:ascii="方正书宋_GBK" w:eastAsia="方正书宋_GBK"/>
              </w:rPr>
            </w:pPr>
            <w:r>
              <w:rPr>
                <w:rFonts w:ascii="方正书宋_GBK" w:eastAsia="方正书宋_GBK"/>
              </w:rPr>
              <w:t>220.47</w:t>
            </w:r>
          </w:p>
        </w:tc>
        <w:tc>
          <w:tcPr>
            <w:tcW w:w="1181" w:type="dxa"/>
            <w:noWrap/>
            <w:vAlign w:val="center"/>
          </w:tcPr>
          <w:p>
            <w:pPr>
              <w:spacing w:line="300" w:lineRule="exact"/>
              <w:jc w:val="left"/>
              <w:rPr>
                <w:rFonts w:ascii="方正书宋_GBK" w:eastAsia="方正书宋_GBK"/>
              </w:rPr>
            </w:pPr>
            <w:r>
              <w:rPr>
                <w:rFonts w:hint="eastAsia" w:ascii="方正书宋_GBK" w:eastAsia="方正书宋_GBK"/>
              </w:rPr>
              <w:t>数据录入设备</w:t>
            </w:r>
          </w:p>
        </w:tc>
        <w:tc>
          <w:tcPr>
            <w:tcW w:w="939" w:type="dxa"/>
            <w:noWrap/>
            <w:vAlign w:val="center"/>
          </w:tcPr>
          <w:p>
            <w:pPr>
              <w:spacing w:line="300" w:lineRule="exact"/>
              <w:jc w:val="left"/>
              <w:rPr>
                <w:rFonts w:ascii="方正书宋_GBK" w:eastAsia="方正书宋_GBK"/>
              </w:rPr>
            </w:pPr>
            <w:r>
              <w:rPr>
                <w:rFonts w:ascii="方正书宋_GBK" w:eastAsia="方正书宋_GBK"/>
              </w:rPr>
              <w:t>A02010612</w:t>
            </w:r>
          </w:p>
        </w:tc>
        <w:tc>
          <w:tcPr>
            <w:tcW w:w="747" w:type="dxa"/>
            <w:noWrap/>
            <w:vAlign w:val="center"/>
          </w:tcPr>
          <w:p>
            <w:pPr>
              <w:spacing w:line="300" w:lineRule="exact"/>
              <w:jc w:val="left"/>
              <w:rPr>
                <w:rFonts w:ascii="方正书宋_GBK" w:eastAsia="方正书宋_GBK"/>
              </w:rPr>
            </w:pPr>
          </w:p>
        </w:tc>
        <w:tc>
          <w:tcPr>
            <w:tcW w:w="747" w:type="dxa"/>
            <w:noWrap/>
            <w:vAlign w:val="center"/>
          </w:tcPr>
          <w:p>
            <w:pPr>
              <w:spacing w:line="300" w:lineRule="exact"/>
              <w:jc w:val="right"/>
              <w:rPr>
                <w:rFonts w:ascii="方正书宋_GBK" w:eastAsia="方正书宋_GBK"/>
              </w:rPr>
            </w:pPr>
            <w:r>
              <w:rPr>
                <w:rFonts w:ascii="方正书宋_GBK" w:eastAsia="方正书宋_GBK"/>
              </w:rPr>
              <w:t>2.00</w:t>
            </w:r>
          </w:p>
        </w:tc>
        <w:tc>
          <w:tcPr>
            <w:tcW w:w="835" w:type="dxa"/>
            <w:noWrap/>
            <w:vAlign w:val="center"/>
          </w:tcPr>
          <w:p>
            <w:pPr>
              <w:spacing w:line="300" w:lineRule="exact"/>
              <w:jc w:val="right"/>
              <w:rPr>
                <w:rFonts w:ascii="方正书宋_GBK" w:eastAsia="方正书宋_GBK"/>
              </w:rPr>
            </w:pPr>
            <w:r>
              <w:rPr>
                <w:rFonts w:ascii="方正书宋_GBK" w:eastAsia="方正书宋_GBK"/>
              </w:rPr>
              <w:t>0.14</w:t>
            </w:r>
          </w:p>
        </w:tc>
        <w:tc>
          <w:tcPr>
            <w:tcW w:w="948" w:type="dxa"/>
            <w:noWrap/>
            <w:vAlign w:val="center"/>
          </w:tcPr>
          <w:p>
            <w:pPr>
              <w:spacing w:line="300" w:lineRule="exact"/>
              <w:jc w:val="right"/>
              <w:rPr>
                <w:rFonts w:ascii="方正书宋_GBK" w:eastAsia="方正书宋_GBK"/>
              </w:rPr>
            </w:pPr>
            <w:r>
              <w:rPr>
                <w:rFonts w:ascii="方正书宋_GBK" w:eastAsia="方正书宋_GBK"/>
              </w:rPr>
              <w:t>0.28</w:t>
            </w:r>
          </w:p>
        </w:tc>
        <w:tc>
          <w:tcPr>
            <w:tcW w:w="948" w:type="dxa"/>
            <w:noWrap/>
            <w:vAlign w:val="center"/>
          </w:tcPr>
          <w:p>
            <w:pPr>
              <w:spacing w:line="300" w:lineRule="exact"/>
              <w:jc w:val="right"/>
              <w:rPr>
                <w:rFonts w:ascii="方正书宋_GBK" w:eastAsia="方正书宋_GBK"/>
              </w:rPr>
            </w:pPr>
            <w:r>
              <w:rPr>
                <w:rFonts w:ascii="方正书宋_GBK" w:eastAsia="方正书宋_GBK"/>
              </w:rPr>
              <w:t>0.28</w:t>
            </w:r>
          </w:p>
        </w:tc>
        <w:tc>
          <w:tcPr>
            <w:tcW w:w="948" w:type="dxa"/>
            <w:noWrap/>
            <w:vAlign w:val="center"/>
          </w:tcPr>
          <w:p>
            <w:pPr>
              <w:spacing w:line="300" w:lineRule="exact"/>
              <w:jc w:val="right"/>
              <w:rPr>
                <w:rFonts w:ascii="方正书宋_GBK" w:eastAsia="方正书宋_GBK"/>
              </w:rPr>
            </w:pPr>
            <w:r>
              <w:rPr>
                <w:rFonts w:ascii="方正书宋_GBK" w:eastAsia="方正书宋_GBK"/>
              </w:rPr>
              <w:t>0.28</w:t>
            </w:r>
          </w:p>
        </w:tc>
        <w:tc>
          <w:tcPr>
            <w:tcW w:w="948"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08"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noWrap/>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84" w:type="dxa"/>
            <w:noWrap/>
            <w:vAlign w:val="center"/>
          </w:tcPr>
          <w:p>
            <w:pPr>
              <w:spacing w:line="300" w:lineRule="exact"/>
              <w:jc w:val="right"/>
              <w:rPr>
                <w:rFonts w:ascii="方正书宋_GBK" w:eastAsia="方正书宋_GBK"/>
              </w:rPr>
            </w:pPr>
            <w:r>
              <w:rPr>
                <w:rFonts w:ascii="方正书宋_GBK" w:eastAsia="方正书宋_GBK"/>
              </w:rPr>
              <w:t>220.47</w:t>
            </w:r>
          </w:p>
        </w:tc>
        <w:tc>
          <w:tcPr>
            <w:tcW w:w="1181" w:type="dxa"/>
            <w:noWrap/>
            <w:vAlign w:val="center"/>
          </w:tcPr>
          <w:p>
            <w:pPr>
              <w:spacing w:line="300" w:lineRule="exact"/>
              <w:jc w:val="left"/>
              <w:rPr>
                <w:rFonts w:ascii="方正书宋_GBK" w:eastAsia="方正书宋_GBK"/>
              </w:rPr>
            </w:pPr>
            <w:r>
              <w:rPr>
                <w:rFonts w:hint="eastAsia" w:ascii="方正书宋_GBK" w:eastAsia="方正书宋_GBK"/>
              </w:rPr>
              <w:t>复印机</w:t>
            </w:r>
          </w:p>
        </w:tc>
        <w:tc>
          <w:tcPr>
            <w:tcW w:w="939" w:type="dxa"/>
            <w:noWrap/>
            <w:vAlign w:val="center"/>
          </w:tcPr>
          <w:p>
            <w:pPr>
              <w:spacing w:line="300" w:lineRule="exact"/>
              <w:jc w:val="left"/>
              <w:rPr>
                <w:rFonts w:ascii="方正书宋_GBK" w:eastAsia="方正书宋_GBK"/>
              </w:rPr>
            </w:pPr>
            <w:r>
              <w:rPr>
                <w:rFonts w:ascii="方正书宋_GBK" w:eastAsia="方正书宋_GBK"/>
              </w:rPr>
              <w:t>A020201</w:t>
            </w:r>
          </w:p>
        </w:tc>
        <w:tc>
          <w:tcPr>
            <w:tcW w:w="747" w:type="dxa"/>
            <w:noWrap/>
            <w:vAlign w:val="center"/>
          </w:tcPr>
          <w:p>
            <w:pPr>
              <w:spacing w:line="300" w:lineRule="exact"/>
              <w:jc w:val="left"/>
              <w:rPr>
                <w:rFonts w:ascii="方正书宋_GBK" w:eastAsia="方正书宋_GBK"/>
              </w:rPr>
            </w:pPr>
          </w:p>
        </w:tc>
        <w:tc>
          <w:tcPr>
            <w:tcW w:w="747" w:type="dxa"/>
            <w:noWrap/>
            <w:vAlign w:val="center"/>
          </w:tcPr>
          <w:p>
            <w:pPr>
              <w:spacing w:line="300" w:lineRule="exact"/>
              <w:jc w:val="right"/>
              <w:rPr>
                <w:rFonts w:ascii="方正书宋_GBK" w:eastAsia="方正书宋_GBK"/>
              </w:rPr>
            </w:pPr>
            <w:r>
              <w:rPr>
                <w:rFonts w:ascii="方正书宋_GBK" w:eastAsia="方正书宋_GBK"/>
              </w:rPr>
              <w:t>1.00</w:t>
            </w:r>
          </w:p>
        </w:tc>
        <w:tc>
          <w:tcPr>
            <w:tcW w:w="835"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08"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noWrap/>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84" w:type="dxa"/>
            <w:noWrap/>
            <w:vAlign w:val="center"/>
          </w:tcPr>
          <w:p>
            <w:pPr>
              <w:spacing w:line="300" w:lineRule="exact"/>
              <w:jc w:val="right"/>
              <w:rPr>
                <w:rFonts w:ascii="方正书宋_GBK" w:eastAsia="方正书宋_GBK"/>
              </w:rPr>
            </w:pPr>
            <w:r>
              <w:rPr>
                <w:rFonts w:ascii="方正书宋_GBK" w:eastAsia="方正书宋_GBK"/>
              </w:rPr>
              <w:t>220.47</w:t>
            </w:r>
          </w:p>
        </w:tc>
        <w:tc>
          <w:tcPr>
            <w:tcW w:w="1181" w:type="dxa"/>
            <w:noWrap/>
            <w:vAlign w:val="center"/>
          </w:tcPr>
          <w:p>
            <w:pPr>
              <w:spacing w:line="300" w:lineRule="exact"/>
              <w:jc w:val="left"/>
              <w:rPr>
                <w:rFonts w:ascii="方正书宋_GBK" w:eastAsia="方正书宋_GBK"/>
              </w:rPr>
            </w:pPr>
            <w:r>
              <w:rPr>
                <w:rFonts w:hint="eastAsia" w:ascii="方正书宋_GBK" w:eastAsia="方正书宋_GBK"/>
              </w:rPr>
              <w:t>文印设备</w:t>
            </w:r>
          </w:p>
        </w:tc>
        <w:tc>
          <w:tcPr>
            <w:tcW w:w="939" w:type="dxa"/>
            <w:noWrap/>
            <w:vAlign w:val="center"/>
          </w:tcPr>
          <w:p>
            <w:pPr>
              <w:spacing w:line="300" w:lineRule="exact"/>
              <w:jc w:val="left"/>
              <w:rPr>
                <w:rFonts w:ascii="方正书宋_GBK" w:eastAsia="方正书宋_GBK"/>
              </w:rPr>
            </w:pPr>
            <w:r>
              <w:rPr>
                <w:rFonts w:ascii="方正书宋_GBK" w:eastAsia="方正书宋_GBK"/>
              </w:rPr>
              <w:t>A020210</w:t>
            </w:r>
          </w:p>
        </w:tc>
        <w:tc>
          <w:tcPr>
            <w:tcW w:w="747" w:type="dxa"/>
            <w:noWrap/>
            <w:vAlign w:val="center"/>
          </w:tcPr>
          <w:p>
            <w:pPr>
              <w:spacing w:line="300" w:lineRule="exact"/>
              <w:jc w:val="left"/>
              <w:rPr>
                <w:rFonts w:ascii="方正书宋_GBK" w:eastAsia="方正书宋_GBK"/>
              </w:rPr>
            </w:pPr>
          </w:p>
        </w:tc>
        <w:tc>
          <w:tcPr>
            <w:tcW w:w="747" w:type="dxa"/>
            <w:noWrap/>
            <w:vAlign w:val="center"/>
          </w:tcPr>
          <w:p>
            <w:pPr>
              <w:spacing w:line="300" w:lineRule="exact"/>
              <w:jc w:val="right"/>
              <w:rPr>
                <w:rFonts w:ascii="方正书宋_GBK" w:eastAsia="方正书宋_GBK"/>
              </w:rPr>
            </w:pPr>
            <w:r>
              <w:rPr>
                <w:rFonts w:ascii="方正书宋_GBK" w:eastAsia="方正书宋_GBK"/>
              </w:rPr>
              <w:t>2.00</w:t>
            </w:r>
          </w:p>
        </w:tc>
        <w:tc>
          <w:tcPr>
            <w:tcW w:w="835" w:type="dxa"/>
            <w:noWrap/>
            <w:vAlign w:val="center"/>
          </w:tcPr>
          <w:p>
            <w:pPr>
              <w:spacing w:line="300" w:lineRule="exact"/>
              <w:jc w:val="right"/>
              <w:rPr>
                <w:rFonts w:ascii="方正书宋_GBK" w:eastAsia="方正书宋_GBK"/>
              </w:rPr>
            </w:pPr>
            <w:r>
              <w:rPr>
                <w:rFonts w:ascii="方正书宋_GBK" w:eastAsia="方正书宋_GBK"/>
              </w:rPr>
              <w:t>0.15</w:t>
            </w:r>
          </w:p>
        </w:tc>
        <w:tc>
          <w:tcPr>
            <w:tcW w:w="948" w:type="dxa"/>
            <w:noWrap/>
            <w:vAlign w:val="center"/>
          </w:tcPr>
          <w:p>
            <w:pPr>
              <w:spacing w:line="300" w:lineRule="exact"/>
              <w:jc w:val="right"/>
              <w:rPr>
                <w:rFonts w:ascii="方正书宋_GBK" w:eastAsia="方正书宋_GBK"/>
              </w:rPr>
            </w:pPr>
            <w:r>
              <w:rPr>
                <w:rFonts w:ascii="方正书宋_GBK" w:eastAsia="方正书宋_GBK"/>
              </w:rPr>
              <w:t>0.30</w:t>
            </w:r>
          </w:p>
        </w:tc>
        <w:tc>
          <w:tcPr>
            <w:tcW w:w="948" w:type="dxa"/>
            <w:noWrap/>
            <w:vAlign w:val="center"/>
          </w:tcPr>
          <w:p>
            <w:pPr>
              <w:spacing w:line="300" w:lineRule="exact"/>
              <w:jc w:val="right"/>
              <w:rPr>
                <w:rFonts w:ascii="方正书宋_GBK" w:eastAsia="方正书宋_GBK"/>
              </w:rPr>
            </w:pPr>
            <w:r>
              <w:rPr>
                <w:rFonts w:ascii="方正书宋_GBK" w:eastAsia="方正书宋_GBK"/>
              </w:rPr>
              <w:t>0.30</w:t>
            </w:r>
          </w:p>
        </w:tc>
        <w:tc>
          <w:tcPr>
            <w:tcW w:w="948" w:type="dxa"/>
            <w:noWrap/>
            <w:vAlign w:val="center"/>
          </w:tcPr>
          <w:p>
            <w:pPr>
              <w:spacing w:line="300" w:lineRule="exact"/>
              <w:jc w:val="right"/>
              <w:rPr>
                <w:rFonts w:ascii="方正书宋_GBK" w:eastAsia="方正书宋_GBK"/>
              </w:rPr>
            </w:pPr>
            <w:r>
              <w:rPr>
                <w:rFonts w:ascii="方正书宋_GBK" w:eastAsia="方正书宋_GBK"/>
              </w:rPr>
              <w:t>0.30</w:t>
            </w:r>
          </w:p>
        </w:tc>
        <w:tc>
          <w:tcPr>
            <w:tcW w:w="948"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08"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33" w:type="dxa"/>
            <w:noWrap/>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84" w:type="dxa"/>
            <w:noWrap/>
            <w:vAlign w:val="center"/>
          </w:tcPr>
          <w:p>
            <w:pPr>
              <w:spacing w:line="300" w:lineRule="exact"/>
              <w:jc w:val="right"/>
              <w:rPr>
                <w:rFonts w:ascii="方正书宋_GBK" w:eastAsia="方正书宋_GBK"/>
              </w:rPr>
            </w:pPr>
            <w:r>
              <w:rPr>
                <w:rFonts w:ascii="方正书宋_GBK" w:eastAsia="方正书宋_GBK"/>
              </w:rPr>
              <w:t>220.47</w:t>
            </w:r>
          </w:p>
        </w:tc>
        <w:tc>
          <w:tcPr>
            <w:tcW w:w="1181" w:type="dxa"/>
            <w:noWrap/>
            <w:vAlign w:val="center"/>
          </w:tcPr>
          <w:p>
            <w:pPr>
              <w:spacing w:line="300" w:lineRule="exact"/>
              <w:jc w:val="left"/>
              <w:rPr>
                <w:rFonts w:ascii="方正书宋_GBK" w:eastAsia="方正书宋_GBK"/>
              </w:rPr>
            </w:pPr>
            <w:r>
              <w:rPr>
                <w:rFonts w:hint="eastAsia" w:ascii="方正书宋_GBK" w:eastAsia="方正书宋_GBK"/>
              </w:rPr>
              <w:t>照相机及器材</w:t>
            </w:r>
          </w:p>
        </w:tc>
        <w:tc>
          <w:tcPr>
            <w:tcW w:w="939" w:type="dxa"/>
            <w:noWrap/>
            <w:vAlign w:val="center"/>
          </w:tcPr>
          <w:p>
            <w:pPr>
              <w:spacing w:line="300" w:lineRule="exact"/>
              <w:jc w:val="left"/>
              <w:rPr>
                <w:rFonts w:ascii="方正书宋_GBK" w:eastAsia="方正书宋_GBK"/>
              </w:rPr>
            </w:pPr>
            <w:r>
              <w:rPr>
                <w:rFonts w:ascii="方正书宋_GBK" w:eastAsia="方正书宋_GBK"/>
              </w:rPr>
              <w:t>A020205</w:t>
            </w:r>
          </w:p>
        </w:tc>
        <w:tc>
          <w:tcPr>
            <w:tcW w:w="747" w:type="dxa"/>
            <w:noWrap/>
            <w:vAlign w:val="center"/>
          </w:tcPr>
          <w:p>
            <w:pPr>
              <w:spacing w:line="300" w:lineRule="exact"/>
              <w:jc w:val="left"/>
              <w:rPr>
                <w:rFonts w:ascii="方正书宋_GBK" w:eastAsia="方正书宋_GBK"/>
              </w:rPr>
            </w:pPr>
          </w:p>
        </w:tc>
        <w:tc>
          <w:tcPr>
            <w:tcW w:w="747" w:type="dxa"/>
            <w:noWrap/>
            <w:vAlign w:val="center"/>
          </w:tcPr>
          <w:p>
            <w:pPr>
              <w:spacing w:line="300" w:lineRule="exact"/>
              <w:jc w:val="right"/>
              <w:rPr>
                <w:rFonts w:ascii="方正书宋_GBK" w:eastAsia="方正书宋_GBK"/>
              </w:rPr>
            </w:pPr>
            <w:r>
              <w:rPr>
                <w:rFonts w:ascii="方正书宋_GBK" w:eastAsia="方正书宋_GBK"/>
              </w:rPr>
              <w:t>2.00</w:t>
            </w:r>
          </w:p>
        </w:tc>
        <w:tc>
          <w:tcPr>
            <w:tcW w:w="835" w:type="dxa"/>
            <w:noWrap/>
            <w:vAlign w:val="center"/>
          </w:tcPr>
          <w:p>
            <w:pPr>
              <w:spacing w:line="300" w:lineRule="exact"/>
              <w:jc w:val="right"/>
              <w:rPr>
                <w:rFonts w:ascii="方正书宋_GBK" w:eastAsia="方正书宋_GBK"/>
              </w:rPr>
            </w:pPr>
            <w:r>
              <w:rPr>
                <w:rFonts w:ascii="方正书宋_GBK" w:eastAsia="方正书宋_GBK"/>
              </w:rPr>
              <w:t>0.30</w:t>
            </w:r>
          </w:p>
        </w:tc>
        <w:tc>
          <w:tcPr>
            <w:tcW w:w="948" w:type="dxa"/>
            <w:noWrap/>
            <w:vAlign w:val="center"/>
          </w:tcPr>
          <w:p>
            <w:pPr>
              <w:spacing w:line="300" w:lineRule="exact"/>
              <w:jc w:val="right"/>
              <w:rPr>
                <w:rFonts w:ascii="方正书宋_GBK" w:eastAsia="方正书宋_GBK"/>
              </w:rPr>
            </w:pPr>
            <w:r>
              <w:rPr>
                <w:rFonts w:ascii="方正书宋_GBK" w:eastAsia="方正书宋_GBK"/>
              </w:rPr>
              <w:t>0.60</w:t>
            </w:r>
          </w:p>
        </w:tc>
        <w:tc>
          <w:tcPr>
            <w:tcW w:w="948" w:type="dxa"/>
            <w:noWrap/>
            <w:vAlign w:val="center"/>
          </w:tcPr>
          <w:p>
            <w:pPr>
              <w:spacing w:line="300" w:lineRule="exact"/>
              <w:jc w:val="right"/>
              <w:rPr>
                <w:rFonts w:ascii="方正书宋_GBK" w:eastAsia="方正书宋_GBK"/>
              </w:rPr>
            </w:pPr>
            <w:r>
              <w:rPr>
                <w:rFonts w:ascii="方正书宋_GBK" w:eastAsia="方正书宋_GBK"/>
              </w:rPr>
              <w:t>0.60</w:t>
            </w:r>
          </w:p>
        </w:tc>
        <w:tc>
          <w:tcPr>
            <w:tcW w:w="948" w:type="dxa"/>
            <w:noWrap/>
            <w:vAlign w:val="center"/>
          </w:tcPr>
          <w:p>
            <w:pPr>
              <w:spacing w:line="300" w:lineRule="exact"/>
              <w:jc w:val="right"/>
              <w:rPr>
                <w:rFonts w:ascii="方正书宋_GBK" w:eastAsia="方正书宋_GBK"/>
              </w:rPr>
            </w:pPr>
            <w:r>
              <w:rPr>
                <w:rFonts w:ascii="方正书宋_GBK" w:eastAsia="方正书宋_GBK"/>
              </w:rPr>
              <w:t>0.60</w:t>
            </w:r>
          </w:p>
        </w:tc>
        <w:tc>
          <w:tcPr>
            <w:tcW w:w="948"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08"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noWrap/>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84" w:type="dxa"/>
            <w:noWrap/>
            <w:vAlign w:val="center"/>
          </w:tcPr>
          <w:p>
            <w:pPr>
              <w:spacing w:line="300" w:lineRule="exact"/>
              <w:jc w:val="right"/>
              <w:rPr>
                <w:rFonts w:ascii="方正书宋_GBK" w:eastAsia="方正书宋_GBK"/>
              </w:rPr>
            </w:pPr>
            <w:r>
              <w:rPr>
                <w:rFonts w:ascii="方正书宋_GBK" w:eastAsia="方正书宋_GBK"/>
              </w:rPr>
              <w:t>220.47</w:t>
            </w:r>
          </w:p>
        </w:tc>
        <w:tc>
          <w:tcPr>
            <w:tcW w:w="1181" w:type="dxa"/>
            <w:noWrap/>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939" w:type="dxa"/>
            <w:noWrap/>
            <w:vAlign w:val="center"/>
          </w:tcPr>
          <w:p>
            <w:pPr>
              <w:spacing w:line="300" w:lineRule="exact"/>
              <w:jc w:val="left"/>
              <w:rPr>
                <w:rFonts w:ascii="方正书宋_GBK" w:eastAsia="方正书宋_GBK"/>
              </w:rPr>
            </w:pPr>
            <w:r>
              <w:rPr>
                <w:rFonts w:ascii="方正书宋_GBK" w:eastAsia="方正书宋_GBK"/>
              </w:rPr>
              <w:t>A020101</w:t>
            </w:r>
          </w:p>
        </w:tc>
        <w:tc>
          <w:tcPr>
            <w:tcW w:w="747" w:type="dxa"/>
            <w:noWrap/>
            <w:vAlign w:val="center"/>
          </w:tcPr>
          <w:p>
            <w:pPr>
              <w:spacing w:line="300" w:lineRule="exact"/>
              <w:jc w:val="left"/>
              <w:rPr>
                <w:rFonts w:ascii="方正书宋_GBK" w:eastAsia="方正书宋_GBK"/>
              </w:rPr>
            </w:pPr>
          </w:p>
        </w:tc>
        <w:tc>
          <w:tcPr>
            <w:tcW w:w="747" w:type="dxa"/>
            <w:noWrap/>
            <w:vAlign w:val="center"/>
          </w:tcPr>
          <w:p>
            <w:pPr>
              <w:spacing w:line="300" w:lineRule="exact"/>
              <w:jc w:val="right"/>
              <w:rPr>
                <w:rFonts w:ascii="方正书宋_GBK" w:eastAsia="方正书宋_GBK"/>
              </w:rPr>
            </w:pPr>
            <w:r>
              <w:rPr>
                <w:rFonts w:ascii="方正书宋_GBK" w:eastAsia="方正书宋_GBK"/>
              </w:rPr>
              <w:t>2.00</w:t>
            </w:r>
          </w:p>
        </w:tc>
        <w:tc>
          <w:tcPr>
            <w:tcW w:w="835" w:type="dxa"/>
            <w:noWrap/>
            <w:vAlign w:val="center"/>
          </w:tcPr>
          <w:p>
            <w:pPr>
              <w:spacing w:line="300" w:lineRule="exact"/>
              <w:jc w:val="right"/>
              <w:rPr>
                <w:rFonts w:ascii="方正书宋_GBK" w:eastAsia="方正书宋_GBK"/>
              </w:rPr>
            </w:pPr>
            <w:r>
              <w:rPr>
                <w:rFonts w:ascii="方正书宋_GBK" w:eastAsia="方正书宋_GBK"/>
              </w:rPr>
              <w:t>0.50</w:t>
            </w:r>
          </w:p>
        </w:tc>
        <w:tc>
          <w:tcPr>
            <w:tcW w:w="948"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r>
              <w:rPr>
                <w:rFonts w:ascii="方正书宋_GBK" w:eastAsia="方正书宋_GBK"/>
              </w:rPr>
              <w:t>1.00</w:t>
            </w:r>
          </w:p>
        </w:tc>
        <w:tc>
          <w:tcPr>
            <w:tcW w:w="948"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08"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noWrap/>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84" w:type="dxa"/>
            <w:noWrap/>
            <w:vAlign w:val="center"/>
          </w:tcPr>
          <w:p>
            <w:pPr>
              <w:spacing w:line="300" w:lineRule="exact"/>
              <w:jc w:val="right"/>
              <w:rPr>
                <w:rFonts w:ascii="方正书宋_GBK" w:eastAsia="方正书宋_GBK"/>
              </w:rPr>
            </w:pPr>
            <w:r>
              <w:rPr>
                <w:rFonts w:ascii="方正书宋_GBK" w:eastAsia="方正书宋_GBK"/>
              </w:rPr>
              <w:t>220.47</w:t>
            </w:r>
          </w:p>
        </w:tc>
        <w:tc>
          <w:tcPr>
            <w:tcW w:w="1181" w:type="dxa"/>
            <w:noWrap/>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939" w:type="dxa"/>
            <w:noWrap/>
            <w:vAlign w:val="center"/>
          </w:tcPr>
          <w:p>
            <w:pPr>
              <w:spacing w:line="300" w:lineRule="exact"/>
              <w:jc w:val="left"/>
              <w:rPr>
                <w:rFonts w:ascii="方正书宋_GBK" w:eastAsia="方正书宋_GBK"/>
              </w:rPr>
            </w:pPr>
            <w:r>
              <w:rPr>
                <w:rFonts w:ascii="方正书宋_GBK" w:eastAsia="方正书宋_GBK"/>
              </w:rPr>
              <w:t>A020101</w:t>
            </w:r>
          </w:p>
        </w:tc>
        <w:tc>
          <w:tcPr>
            <w:tcW w:w="747" w:type="dxa"/>
            <w:noWrap/>
            <w:vAlign w:val="center"/>
          </w:tcPr>
          <w:p>
            <w:pPr>
              <w:spacing w:line="300" w:lineRule="exact"/>
              <w:jc w:val="left"/>
              <w:rPr>
                <w:rFonts w:ascii="方正书宋_GBK" w:eastAsia="方正书宋_GBK"/>
              </w:rPr>
            </w:pPr>
          </w:p>
        </w:tc>
        <w:tc>
          <w:tcPr>
            <w:tcW w:w="747" w:type="dxa"/>
            <w:noWrap/>
            <w:vAlign w:val="center"/>
          </w:tcPr>
          <w:p>
            <w:pPr>
              <w:spacing w:line="300" w:lineRule="exact"/>
              <w:jc w:val="right"/>
              <w:rPr>
                <w:rFonts w:ascii="方正书宋_GBK" w:eastAsia="方正书宋_GBK"/>
              </w:rPr>
            </w:pPr>
            <w:r>
              <w:rPr>
                <w:rFonts w:ascii="方正书宋_GBK" w:eastAsia="方正书宋_GBK"/>
              </w:rPr>
              <w:t>2.00</w:t>
            </w:r>
          </w:p>
        </w:tc>
        <w:tc>
          <w:tcPr>
            <w:tcW w:w="835" w:type="dxa"/>
            <w:noWrap/>
            <w:vAlign w:val="center"/>
          </w:tcPr>
          <w:p>
            <w:pPr>
              <w:spacing w:line="300" w:lineRule="exact"/>
              <w:jc w:val="right"/>
              <w:rPr>
                <w:rFonts w:ascii="方正书宋_GBK" w:eastAsia="方正书宋_GBK"/>
              </w:rPr>
            </w:pPr>
            <w:r>
              <w:rPr>
                <w:rFonts w:ascii="方正书宋_GBK" w:eastAsia="方正书宋_GBK"/>
              </w:rPr>
              <w:t>0.90</w:t>
            </w:r>
          </w:p>
        </w:tc>
        <w:tc>
          <w:tcPr>
            <w:tcW w:w="948" w:type="dxa"/>
            <w:noWrap/>
            <w:vAlign w:val="center"/>
          </w:tcPr>
          <w:p>
            <w:pPr>
              <w:spacing w:line="300" w:lineRule="exact"/>
              <w:jc w:val="right"/>
              <w:rPr>
                <w:rFonts w:ascii="方正书宋_GBK" w:eastAsia="方正书宋_GBK"/>
              </w:rPr>
            </w:pPr>
            <w:r>
              <w:rPr>
                <w:rFonts w:ascii="方正书宋_GBK" w:eastAsia="方正书宋_GBK"/>
              </w:rPr>
              <w:t>1.80</w:t>
            </w:r>
          </w:p>
        </w:tc>
        <w:tc>
          <w:tcPr>
            <w:tcW w:w="948" w:type="dxa"/>
            <w:noWrap/>
            <w:vAlign w:val="center"/>
          </w:tcPr>
          <w:p>
            <w:pPr>
              <w:spacing w:line="300" w:lineRule="exact"/>
              <w:jc w:val="right"/>
              <w:rPr>
                <w:rFonts w:ascii="方正书宋_GBK" w:eastAsia="方正书宋_GBK"/>
              </w:rPr>
            </w:pPr>
            <w:r>
              <w:rPr>
                <w:rFonts w:ascii="方正书宋_GBK" w:eastAsia="方正书宋_GBK"/>
              </w:rPr>
              <w:t>1.80</w:t>
            </w:r>
          </w:p>
        </w:tc>
        <w:tc>
          <w:tcPr>
            <w:tcW w:w="948" w:type="dxa"/>
            <w:noWrap/>
            <w:vAlign w:val="center"/>
          </w:tcPr>
          <w:p>
            <w:pPr>
              <w:spacing w:line="300" w:lineRule="exact"/>
              <w:jc w:val="right"/>
              <w:rPr>
                <w:rFonts w:ascii="方正书宋_GBK" w:eastAsia="方正书宋_GBK"/>
              </w:rPr>
            </w:pPr>
            <w:r>
              <w:rPr>
                <w:rFonts w:ascii="方正书宋_GBK" w:eastAsia="方正书宋_GBK"/>
              </w:rPr>
              <w:t>1.80</w:t>
            </w:r>
          </w:p>
        </w:tc>
        <w:tc>
          <w:tcPr>
            <w:tcW w:w="948"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08" w:type="dxa"/>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noWrap/>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084" w:type="dxa"/>
            <w:noWrap/>
            <w:vAlign w:val="center"/>
          </w:tcPr>
          <w:p>
            <w:pPr>
              <w:spacing w:line="300" w:lineRule="exact"/>
              <w:jc w:val="center"/>
              <w:rPr>
                <w:rFonts w:ascii="方正书宋_GBK" w:eastAsia="方正书宋_GBK"/>
              </w:rPr>
            </w:pPr>
            <w:r>
              <w:rPr>
                <w:rFonts w:ascii="方正书宋_GBK" w:eastAsia="方正书宋_GBK"/>
              </w:rPr>
              <w:t>220.47</w:t>
            </w:r>
          </w:p>
        </w:tc>
        <w:tc>
          <w:tcPr>
            <w:tcW w:w="1181" w:type="dxa"/>
            <w:noWrap/>
            <w:vAlign w:val="center"/>
          </w:tcPr>
          <w:p>
            <w:pPr>
              <w:spacing w:line="300" w:lineRule="exact"/>
              <w:jc w:val="left"/>
              <w:rPr>
                <w:rFonts w:ascii="方正书宋_GBK" w:eastAsia="方正书宋_GBK"/>
              </w:rPr>
            </w:pPr>
            <w:r>
              <w:rPr>
                <w:rFonts w:hint="eastAsia" w:ascii="方正书宋_GBK" w:eastAsia="方正书宋_GBK"/>
              </w:rPr>
              <w:t>移动存储设备</w:t>
            </w:r>
          </w:p>
        </w:tc>
        <w:tc>
          <w:tcPr>
            <w:tcW w:w="939" w:type="dxa"/>
            <w:noWrap/>
            <w:vAlign w:val="center"/>
          </w:tcPr>
          <w:p>
            <w:pPr>
              <w:spacing w:line="300" w:lineRule="exact"/>
              <w:jc w:val="left"/>
              <w:rPr>
                <w:rFonts w:ascii="方正书宋_GBK" w:eastAsia="方正书宋_GBK"/>
              </w:rPr>
            </w:pPr>
            <w:r>
              <w:rPr>
                <w:rFonts w:ascii="方正书宋_GBK" w:eastAsia="方正书宋_GBK"/>
              </w:rPr>
              <w:t>A02010508</w:t>
            </w:r>
          </w:p>
        </w:tc>
        <w:tc>
          <w:tcPr>
            <w:tcW w:w="747" w:type="dxa"/>
            <w:noWrap/>
            <w:vAlign w:val="center"/>
          </w:tcPr>
          <w:p>
            <w:pPr>
              <w:spacing w:line="300" w:lineRule="exact"/>
              <w:jc w:val="left"/>
              <w:rPr>
                <w:rFonts w:ascii="方正书宋_GBK" w:eastAsia="方正书宋_GBK"/>
              </w:rPr>
            </w:pPr>
          </w:p>
        </w:tc>
        <w:tc>
          <w:tcPr>
            <w:tcW w:w="747" w:type="dxa"/>
            <w:noWrap/>
            <w:vAlign w:val="center"/>
          </w:tcPr>
          <w:p>
            <w:pPr>
              <w:spacing w:line="300" w:lineRule="exact"/>
              <w:jc w:val="right"/>
              <w:rPr>
                <w:rFonts w:ascii="方正书宋_GBK" w:eastAsia="方正书宋_GBK"/>
              </w:rPr>
            </w:pPr>
            <w:r>
              <w:rPr>
                <w:rFonts w:ascii="方正书宋_GBK" w:eastAsia="方正书宋_GBK"/>
              </w:rPr>
              <w:t>2.00</w:t>
            </w:r>
          </w:p>
        </w:tc>
        <w:tc>
          <w:tcPr>
            <w:tcW w:w="835" w:type="dxa"/>
            <w:noWrap/>
            <w:vAlign w:val="center"/>
          </w:tcPr>
          <w:p>
            <w:pPr>
              <w:spacing w:line="300" w:lineRule="exact"/>
              <w:jc w:val="right"/>
              <w:rPr>
                <w:rFonts w:ascii="方正书宋_GBK" w:eastAsia="方正书宋_GBK"/>
              </w:rPr>
            </w:pPr>
            <w:r>
              <w:rPr>
                <w:rFonts w:ascii="方正书宋_GBK" w:eastAsia="方正书宋_GBK"/>
              </w:rPr>
              <w:t>0.05</w:t>
            </w:r>
          </w:p>
        </w:tc>
        <w:tc>
          <w:tcPr>
            <w:tcW w:w="948" w:type="dxa"/>
            <w:noWrap/>
            <w:vAlign w:val="center"/>
          </w:tcPr>
          <w:p>
            <w:pPr>
              <w:spacing w:line="300" w:lineRule="exact"/>
              <w:jc w:val="right"/>
              <w:rPr>
                <w:rFonts w:ascii="方正书宋_GBK" w:eastAsia="方正书宋_GBK"/>
              </w:rPr>
            </w:pPr>
            <w:r>
              <w:rPr>
                <w:rFonts w:ascii="方正书宋_GBK" w:eastAsia="方正书宋_GBK"/>
              </w:rPr>
              <w:t>0.10</w:t>
            </w:r>
          </w:p>
        </w:tc>
        <w:tc>
          <w:tcPr>
            <w:tcW w:w="948" w:type="dxa"/>
            <w:noWrap/>
            <w:vAlign w:val="center"/>
          </w:tcPr>
          <w:p>
            <w:pPr>
              <w:spacing w:line="300" w:lineRule="exact"/>
              <w:jc w:val="right"/>
              <w:rPr>
                <w:rFonts w:ascii="方正书宋_GBK" w:eastAsia="方正书宋_GBK"/>
              </w:rPr>
            </w:pPr>
            <w:r>
              <w:rPr>
                <w:rFonts w:ascii="方正书宋_GBK" w:eastAsia="方正书宋_GBK"/>
              </w:rPr>
              <w:t>0.10</w:t>
            </w:r>
          </w:p>
        </w:tc>
        <w:tc>
          <w:tcPr>
            <w:tcW w:w="948" w:type="dxa"/>
            <w:noWrap/>
            <w:vAlign w:val="center"/>
          </w:tcPr>
          <w:p>
            <w:pPr>
              <w:spacing w:line="300" w:lineRule="exact"/>
              <w:jc w:val="right"/>
              <w:rPr>
                <w:rFonts w:ascii="方正书宋_GBK" w:eastAsia="方正书宋_GBK"/>
              </w:rPr>
            </w:pPr>
            <w:r>
              <w:rPr>
                <w:rFonts w:ascii="方正书宋_GBK" w:eastAsia="方正书宋_GBK"/>
              </w:rPr>
              <w:t>0.10</w:t>
            </w:r>
          </w:p>
        </w:tc>
        <w:tc>
          <w:tcPr>
            <w:tcW w:w="948"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51" w:type="dxa"/>
            <w:noWrap/>
            <w:vAlign w:val="center"/>
          </w:tcPr>
          <w:p>
            <w:pPr>
              <w:spacing w:line="300" w:lineRule="exact"/>
              <w:jc w:val="right"/>
              <w:rPr>
                <w:rFonts w:ascii="方正书宋_GBK" w:eastAsia="方正书宋_GBK"/>
              </w:rPr>
            </w:pPr>
          </w:p>
        </w:tc>
        <w:tc>
          <w:tcPr>
            <w:tcW w:w="908" w:type="dxa"/>
            <w:noWrap/>
            <w:vAlign w:val="center"/>
          </w:tcPr>
          <w:p>
            <w:pPr>
              <w:spacing w:line="300" w:lineRule="exact"/>
              <w:jc w:val="right"/>
              <w:rPr>
                <w:rFonts w:ascii="方正书宋_GBK" w:eastAsia="方正书宋_GBK"/>
              </w:rPr>
            </w:pPr>
          </w:p>
        </w:tc>
      </w:tr>
      <w:bookmarkEnd w:id="2"/>
    </w:tbl>
    <w:p>
      <w:pPr>
        <w:autoSpaceDE w:val="0"/>
        <w:autoSpaceDN w:val="0"/>
        <w:adjustRightInd w:val="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七、国有资产信息</w:t>
      </w: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上年末固定资产金额为</w:t>
      </w:r>
      <w:r>
        <w:rPr>
          <w:rFonts w:ascii="仿宋" w:hAnsi="仿宋" w:eastAsia="仿宋" w:cs="仿宋"/>
          <w:color w:val="000000"/>
          <w:sz w:val="32"/>
          <w:szCs w:val="32"/>
        </w:rPr>
        <w:t>779.89</w:t>
      </w:r>
      <w:r>
        <w:rPr>
          <w:rFonts w:hint="eastAsia" w:ascii="仿宋" w:hAnsi="仿宋" w:eastAsia="仿宋" w:cs="仿宋"/>
          <w:color w:val="000000"/>
          <w:sz w:val="32"/>
          <w:szCs w:val="32"/>
        </w:rPr>
        <w:t>万元（详见下表），本年度拟购置固定资产主要为计算机、复印机、移动硬盘等，共计</w:t>
      </w:r>
      <w:r>
        <w:rPr>
          <w:rFonts w:ascii="仿宋" w:hAnsi="仿宋" w:eastAsia="仿宋" w:cs="仿宋"/>
          <w:color w:val="000000"/>
          <w:sz w:val="32"/>
          <w:szCs w:val="32"/>
        </w:rPr>
        <w:t>9.92</w:t>
      </w:r>
      <w:r>
        <w:rPr>
          <w:rFonts w:hint="eastAsia" w:ascii="仿宋" w:hAnsi="仿宋" w:eastAsia="仿宋" w:cs="仿宋"/>
          <w:color w:val="000000"/>
          <w:sz w:val="32"/>
          <w:szCs w:val="32"/>
        </w:rPr>
        <w:t>万元，均是</w:t>
      </w:r>
      <w:r>
        <w:rPr>
          <w:rFonts w:ascii="仿宋" w:hAnsi="仿宋" w:eastAsia="仿宋" w:cs="仿宋"/>
          <w:color w:val="000000"/>
          <w:sz w:val="32"/>
          <w:szCs w:val="32"/>
        </w:rPr>
        <w:t>20</w:t>
      </w:r>
      <w:r>
        <w:rPr>
          <w:rFonts w:hint="eastAsia" w:ascii="仿宋" w:hAnsi="仿宋" w:eastAsia="仿宋" w:cs="仿宋"/>
          <w:color w:val="000000"/>
          <w:sz w:val="32"/>
          <w:szCs w:val="32"/>
        </w:rPr>
        <w:t>万元以下的设备。本年预算拟购置的固定资产为其他固定资产，共计</w:t>
      </w:r>
      <w:r>
        <w:rPr>
          <w:rFonts w:ascii="仿宋" w:hAnsi="仿宋" w:eastAsia="仿宋" w:cs="仿宋"/>
          <w:color w:val="000000"/>
          <w:sz w:val="32"/>
          <w:szCs w:val="32"/>
        </w:rPr>
        <w:t>9.92</w:t>
      </w:r>
      <w:r>
        <w:rPr>
          <w:rFonts w:hint="eastAsia" w:ascii="仿宋" w:hAnsi="仿宋" w:eastAsia="仿宋" w:cs="仿宋"/>
          <w:color w:val="000000"/>
          <w:sz w:val="32"/>
          <w:szCs w:val="32"/>
        </w:rPr>
        <w:t>万元</w:t>
      </w:r>
      <w:r>
        <w:rPr>
          <w:rFonts w:ascii="仿宋" w:hAnsi="仿宋" w:eastAsia="仿宋" w:cs="仿宋"/>
          <w:color w:val="000000"/>
          <w:sz w:val="32"/>
          <w:szCs w:val="32"/>
        </w:rPr>
        <w:t>,</w:t>
      </w:r>
      <w:r>
        <w:rPr>
          <w:rFonts w:hint="eastAsia" w:ascii="仿宋" w:hAnsi="仿宋" w:eastAsia="仿宋" w:cs="仿宋"/>
          <w:color w:val="000000"/>
          <w:sz w:val="32"/>
          <w:szCs w:val="32"/>
        </w:rPr>
        <w:t>已列入政府采购预算表。</w:t>
      </w:r>
    </w:p>
    <w:p>
      <w:pPr>
        <w:ind w:firstLine="640"/>
        <w:rPr>
          <w:rFonts w:ascii="仿宋" w:hAnsi="仿宋" w:eastAsia="仿宋" w:cs="仿宋"/>
          <w:color w:val="000000"/>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承德市部门固定资产占用情况表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编制部门：承德市工业和信息化局</w:t>
            </w:r>
          </w:p>
        </w:tc>
        <w:tc>
          <w:tcPr>
            <w:tcW w:w="5103" w:type="dxa"/>
            <w:tcBorders>
              <w:top w:val="nil"/>
              <w:left w:val="nil"/>
              <w:bottom w:val="nil"/>
              <w:right w:val="nil"/>
            </w:tcBorders>
            <w:vAlign w:val="center"/>
          </w:tcPr>
          <w:p>
            <w:pPr>
              <w:widowControl/>
              <w:jc w:val="left"/>
              <w:rPr>
                <w:rFonts w:ascii="宋体" w:cs="宋体"/>
                <w:kern w:val="0"/>
                <w:sz w:val="22"/>
              </w:rPr>
            </w:pPr>
            <w:r>
              <w:rPr>
                <w:rFonts w:hint="eastAsia" w:ascii="宋体" w:hAnsi="宋体" w:cs="宋体"/>
                <w:kern w:val="0"/>
                <w:sz w:val="22"/>
              </w:rPr>
              <w:t>截止时间：</w:t>
            </w:r>
            <w:r>
              <w:rPr>
                <w:rFonts w:ascii="宋体" w:hAnsi="宋体" w:cs="宋体"/>
                <w:kern w:val="0"/>
                <w:sz w:val="22"/>
              </w:rPr>
              <w:t>2018</w:t>
            </w:r>
            <w:r>
              <w:rPr>
                <w:rFonts w:hint="eastAsia" w:ascii="宋体" w:hAnsi="宋体" w:cs="宋体"/>
                <w:kern w:val="0"/>
                <w:sz w:val="22"/>
              </w:rPr>
              <w:t>年</w:t>
            </w:r>
            <w:r>
              <w:rPr>
                <w:rFonts w:ascii="宋体" w:hAnsi="宋体" w:cs="宋体"/>
                <w:kern w:val="0"/>
                <w:sz w:val="22"/>
              </w:rPr>
              <w:t>12</w:t>
            </w:r>
            <w:r>
              <w:rPr>
                <w:rFonts w:hint="eastAsia" w:ascii="宋体" w:hAnsi="宋体" w:cs="宋体"/>
                <w:kern w:val="0"/>
                <w:sz w:val="22"/>
              </w:rPr>
              <w:t>月</w:t>
            </w:r>
            <w:r>
              <w:rPr>
                <w:rFonts w:ascii="宋体" w:hAnsi="宋体" w:cs="宋体"/>
                <w:kern w:val="0"/>
                <w:sz w:val="22"/>
              </w:rPr>
              <w:t>31</w:t>
            </w:r>
            <w:r>
              <w:rPr>
                <w:rFonts w:hint="eastAsia" w:ascii="宋体" w:hAnsi="宋体" w:cs="宋体"/>
                <w:kern w:val="0"/>
                <w:sz w:val="22"/>
              </w:rPr>
              <w:t>日</w:t>
            </w:r>
            <w:r>
              <w:rPr>
                <w:rFonts w:ascii="宋体" w:hAnsi="宋体" w:cs="宋体"/>
                <w:kern w:val="0"/>
                <w:sz w:val="22"/>
              </w:rPr>
              <w:t xml:space="preserve">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w:t>
            </w:r>
            <w:r>
              <w:rPr>
                <w:rFonts w:ascii="宋体" w:hAnsi="宋体" w:cs="宋体"/>
                <w:b/>
                <w:bCs/>
                <w:kern w:val="0"/>
                <w:sz w:val="22"/>
              </w:rPr>
              <w:t xml:space="preserve">   </w:t>
            </w:r>
            <w:r>
              <w:rPr>
                <w:rFonts w:hint="eastAsia" w:ascii="宋体" w:hAnsi="宋体" w:cs="宋体"/>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722"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2739.17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4503.94</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370.88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830.94</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80.84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5</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127.22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、单价在</w:t>
            </w:r>
            <w:r>
              <w:rPr>
                <w:rFonts w:ascii="宋体" w:hAnsi="宋体" w:cs="宋体"/>
                <w:kern w:val="0"/>
                <w:sz w:val="22"/>
              </w:rPr>
              <w:t>20</w:t>
            </w:r>
            <w:r>
              <w:rPr>
                <w:rFonts w:hint="eastAsia" w:ascii="宋体" w:hAnsi="宋体" w:cs="宋体"/>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cs="宋体"/>
                <w:kern w:val="0"/>
                <w:sz w:val="22"/>
              </w:rPr>
              <w:t>0.00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cs="宋体"/>
                <w:kern w:val="0"/>
                <w:sz w:val="22"/>
              </w:rPr>
            </w:pPr>
            <w:r>
              <w:rPr>
                <w:rFonts w:ascii="宋体" w:hAnsi="宋体" w:cs="宋体"/>
                <w:kern w:val="0"/>
                <w:sz w:val="22"/>
              </w:rPr>
              <w:t>281.79</w:t>
            </w:r>
          </w:p>
          <w:p>
            <w:pPr>
              <w:widowControl/>
              <w:jc w:val="center"/>
              <w:rPr>
                <w:rFonts w:ascii="宋体" w:cs="宋体"/>
                <w:kern w:val="0"/>
                <w:sz w:val="22"/>
              </w:rPr>
            </w:pPr>
          </w:p>
        </w:tc>
      </w:tr>
    </w:tbl>
    <w:p>
      <w:pPr>
        <w:rPr>
          <w:rFonts w:ascii="??_GB2312" w:hAnsi="黑体" w:eastAsia="Times New Roman" w:cs="Times New Roman"/>
          <w:sz w:val="32"/>
          <w:szCs w:val="32"/>
        </w:rPr>
      </w:pPr>
      <w:r>
        <w:rPr>
          <w:rFonts w:ascii="??_GB2312" w:hAnsi="黑体" w:eastAsia="Times New Roman" w:cs="Times New Roman"/>
          <w:sz w:val="32"/>
          <w:szCs w:val="32"/>
        </w:rPr>
        <w:t>说明：1、实有车辆</w:t>
      </w:r>
      <w:r>
        <w:rPr>
          <w:rFonts w:hint="eastAsia" w:ascii="??_GB2312" w:hAnsi="黑体" w:cs="Times New Roman"/>
          <w:sz w:val="32"/>
          <w:szCs w:val="32"/>
          <w:lang w:val="en-US" w:eastAsia="zh-CN"/>
        </w:rPr>
        <w:t>5</w:t>
      </w:r>
      <w:r>
        <w:rPr>
          <w:rFonts w:ascii="??_GB2312" w:hAnsi="黑体" w:eastAsia="Times New Roman" w:cs="Times New Roman"/>
          <w:sz w:val="32"/>
          <w:szCs w:val="32"/>
        </w:rPr>
        <w:t>辆。</w:t>
      </w:r>
    </w:p>
    <w:p>
      <w:pPr>
        <w:rPr>
          <w:rFonts w:ascii="仿宋" w:hAnsi="仿宋" w:eastAsia="仿宋" w:cs="Times New Roman"/>
          <w:sz w:val="32"/>
          <w:szCs w:val="32"/>
        </w:rPr>
      </w:pPr>
      <w:r>
        <w:rPr>
          <w:rFonts w:ascii="??_GB2312" w:hAnsi="黑体" w:eastAsia="Times New Roman" w:cs="Times New Roman"/>
          <w:sz w:val="32"/>
          <w:szCs w:val="32"/>
        </w:rPr>
        <w:t xml:space="preserve">     </w:t>
      </w:r>
      <w:r>
        <w:rPr>
          <w:rFonts w:ascii="仿宋" w:hAnsi="仿宋" w:eastAsia="仿宋" w:cs="Times New Roman"/>
          <w:sz w:val="32"/>
          <w:szCs w:val="32"/>
        </w:rPr>
        <w:t xml:space="preserve"> 2</w:t>
      </w:r>
      <w:r>
        <w:rPr>
          <w:rFonts w:hint="eastAsia" w:ascii="仿宋" w:hAnsi="仿宋" w:eastAsia="仿宋" w:cs="Times New Roman"/>
          <w:sz w:val="32"/>
          <w:szCs w:val="32"/>
        </w:rPr>
        <w:t>、办公用房价值</w:t>
      </w:r>
      <w:r>
        <w:rPr>
          <w:rFonts w:ascii="仿宋" w:hAnsi="仿宋" w:eastAsia="仿宋" w:cs="Times New Roman"/>
          <w:sz w:val="32"/>
          <w:szCs w:val="32"/>
        </w:rPr>
        <w:t>80.84</w:t>
      </w:r>
      <w:r>
        <w:rPr>
          <w:rFonts w:hint="eastAsia" w:ascii="仿宋" w:hAnsi="仿宋" w:eastAsia="仿宋" w:cs="Times New Roman"/>
          <w:sz w:val="32"/>
          <w:szCs w:val="32"/>
        </w:rPr>
        <w:t>万元计入固定资产。</w:t>
      </w:r>
    </w:p>
    <w:p>
      <w:pPr>
        <w:numPr>
          <w:ilvl w:val="0"/>
          <w:numId w:val="2"/>
        </w:num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名词解释</w:t>
      </w:r>
    </w:p>
    <w:p>
      <w:pPr>
        <w:autoSpaceDE w:val="0"/>
        <w:autoSpaceDN w:val="0"/>
        <w:adjustRightInd w:val="0"/>
        <w:ind w:left="420" w:leftChars="200" w:firstLine="640" w:firstLineChars="200"/>
        <w:jc w:val="left"/>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宋体"/>
          <w:sz w:val="32"/>
          <w:szCs w:val="32"/>
        </w:rPr>
        <w:t>、一般预算收入：市级财政当年拨付的资金。</w:t>
      </w:r>
    </w:p>
    <w:p>
      <w:pPr>
        <w:autoSpaceDE w:val="0"/>
        <w:autoSpaceDN w:val="0"/>
        <w:adjustRightInd w:val="0"/>
        <w:ind w:left="420" w:leftChars="200" w:firstLine="640" w:firstLineChars="200"/>
        <w:jc w:val="left"/>
        <w:rPr>
          <w:rFonts w:ascii="仿宋" w:hAnsi="仿宋" w:eastAsia="仿宋" w:cs="??_GB2312"/>
          <w:sz w:val="32"/>
          <w:szCs w:val="32"/>
        </w:rPr>
      </w:pPr>
      <w:r>
        <w:rPr>
          <w:rFonts w:ascii="仿宋" w:hAnsi="仿宋" w:eastAsia="仿宋" w:cs="??_GB2312"/>
          <w:sz w:val="32"/>
          <w:szCs w:val="32"/>
        </w:rPr>
        <w:t>2</w:t>
      </w:r>
      <w:r>
        <w:rPr>
          <w:rFonts w:hint="eastAsia" w:ascii="仿宋" w:hAnsi="仿宋" w:eastAsia="仿宋" w:cs="宋体"/>
          <w:sz w:val="32"/>
          <w:szCs w:val="32"/>
        </w:rPr>
        <w:t>、基本支出：为保障机构正常运转，完成日常工作任务，而发生的人员支出和公用支出。</w:t>
      </w:r>
    </w:p>
    <w:p>
      <w:pPr>
        <w:autoSpaceDE w:val="0"/>
        <w:autoSpaceDN w:val="0"/>
        <w:adjustRightInd w:val="0"/>
        <w:ind w:left="420" w:leftChars="200" w:firstLine="640" w:firstLineChars="200"/>
        <w:jc w:val="left"/>
        <w:rPr>
          <w:rFonts w:ascii="仿宋" w:hAnsi="仿宋" w:eastAsia="仿宋" w:cs="??_GB2312"/>
          <w:sz w:val="32"/>
          <w:szCs w:val="32"/>
        </w:rPr>
      </w:pPr>
      <w:r>
        <w:rPr>
          <w:rFonts w:ascii="仿宋" w:hAnsi="仿宋" w:eastAsia="仿宋" w:cs="??_GB2312"/>
          <w:sz w:val="32"/>
          <w:szCs w:val="32"/>
        </w:rPr>
        <w:t>3</w:t>
      </w:r>
      <w:r>
        <w:rPr>
          <w:rFonts w:hint="eastAsia" w:ascii="仿宋" w:hAnsi="仿宋" w:eastAsia="仿宋" w:cs="宋体"/>
          <w:sz w:val="32"/>
          <w:szCs w:val="32"/>
        </w:rPr>
        <w:t>、项目支出：是指在基本支出之外，为完成特定行政任务和事业发展目标，而发生的支出。</w:t>
      </w:r>
    </w:p>
    <w:p>
      <w:pPr>
        <w:autoSpaceDE w:val="0"/>
        <w:autoSpaceDN w:val="0"/>
        <w:adjustRightInd w:val="0"/>
        <w:ind w:left="420" w:leftChars="200" w:firstLine="640" w:firstLineChars="200"/>
        <w:jc w:val="left"/>
        <w:rPr>
          <w:rFonts w:ascii="仿宋" w:hAnsi="仿宋" w:eastAsia="仿宋" w:cs="??_GB2312"/>
          <w:sz w:val="32"/>
          <w:szCs w:val="32"/>
        </w:rPr>
      </w:pPr>
      <w:r>
        <w:rPr>
          <w:rFonts w:ascii="仿宋" w:hAnsi="仿宋" w:eastAsia="仿宋" w:cs="??_GB2312"/>
          <w:sz w:val="32"/>
          <w:szCs w:val="32"/>
        </w:rPr>
        <w:t>4</w:t>
      </w:r>
      <w:r>
        <w:rPr>
          <w:rFonts w:hint="eastAsia" w:ascii="仿宋" w:hAnsi="仿宋" w:eastAsia="仿宋" w:cs="宋体"/>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autoSpaceDE w:val="0"/>
        <w:autoSpaceDN w:val="0"/>
        <w:adjustRightInd w:val="0"/>
        <w:ind w:left="420" w:leftChars="200" w:firstLine="640" w:firstLineChars="200"/>
        <w:jc w:val="left"/>
        <w:rPr>
          <w:rFonts w:ascii="仿宋" w:hAnsi="仿宋" w:eastAsia="仿宋" w:cs="??_GB2312"/>
          <w:sz w:val="32"/>
          <w:szCs w:val="32"/>
        </w:rPr>
      </w:pPr>
      <w:r>
        <w:rPr>
          <w:rFonts w:ascii="仿宋" w:hAnsi="仿宋" w:eastAsia="仿宋" w:cs="??_GB2312"/>
          <w:sz w:val="32"/>
          <w:szCs w:val="32"/>
        </w:rPr>
        <w:t>5</w:t>
      </w:r>
      <w:r>
        <w:rPr>
          <w:rFonts w:hint="eastAsia" w:ascii="仿宋" w:hAnsi="仿宋" w:eastAsia="仿宋" w:cs="宋体"/>
          <w:sz w:val="32"/>
          <w:szCs w:val="32"/>
        </w:rPr>
        <w:t>、三公经费：三公</w:t>
      </w:r>
      <w:r>
        <w:rPr>
          <w:rFonts w:ascii="仿宋" w:hAnsi="仿宋" w:eastAsia="仿宋" w:cs="??_GB2312"/>
          <w:sz w:val="32"/>
          <w:szCs w:val="32"/>
        </w:rPr>
        <w:t>”</w:t>
      </w:r>
      <w:r>
        <w:rPr>
          <w:rFonts w:hint="eastAsia" w:ascii="仿宋" w:hAnsi="仿宋" w:eastAsia="仿宋" w:cs="宋体"/>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支出。</w:t>
      </w:r>
    </w:p>
    <w:p>
      <w:pPr>
        <w:autoSpaceDE w:val="0"/>
        <w:autoSpaceDN w:val="0"/>
        <w:adjustRightInd w:val="0"/>
        <w:ind w:left="420" w:leftChars="200" w:firstLine="643" w:firstLineChars="200"/>
        <w:jc w:val="left"/>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autoSpaceDE w:val="0"/>
        <w:autoSpaceDN w:val="0"/>
        <w:adjustRightInd w:val="0"/>
        <w:ind w:left="420" w:leftChars="200" w:firstLine="1280" w:firstLineChars="400"/>
        <w:jc w:val="left"/>
        <w:rPr>
          <w:rFonts w:ascii="??_GB2312" w:hAnsi="??_GB2312" w:eastAsia="Times New Roman" w:cs="??_GB2312"/>
          <w:sz w:val="32"/>
          <w:szCs w:val="32"/>
        </w:rPr>
      </w:pPr>
      <w:r>
        <w:rPr>
          <w:rFonts w:hint="eastAsia" w:ascii="宋体" w:hAnsi="宋体" w:cs="宋体"/>
          <w:sz w:val="32"/>
          <w:szCs w:val="32"/>
        </w:rPr>
        <w:t>无</w:t>
      </w:r>
    </w:p>
    <w:p>
      <w:pPr>
        <w:ind w:left="420" w:leftChars="200" w:firstLine="640" w:firstLineChars="200"/>
        <w:rPr>
          <w:rFonts w:ascii="黑体" w:hAnsi="黑体" w:eastAsia="黑体"/>
          <w:sz w:val="32"/>
          <w:szCs w:val="32"/>
        </w:rPr>
      </w:pPr>
      <w:r>
        <w:rPr>
          <w:rFonts w:hint="eastAsia" w:ascii="黑体" w:hAnsi="黑体" w:eastAsia="黑体"/>
          <w:sz w:val="32"/>
          <w:szCs w:val="32"/>
        </w:rPr>
        <w:t>十、本部门预算批复时间及批复文件号</w:t>
      </w:r>
    </w:p>
    <w:p>
      <w:pPr>
        <w:ind w:firstLine="1600" w:firstLineChars="500"/>
        <w:rPr>
          <w:rFonts w:ascii="仿宋" w:hAnsi="仿宋" w:eastAsia="仿宋" w:cs="仿宋"/>
          <w:sz w:val="32"/>
          <w:szCs w:val="32"/>
        </w:rPr>
      </w:pPr>
      <w:r>
        <w:rPr>
          <w:rFonts w:hint="eastAsia" w:ascii="仿宋" w:hAnsi="仿宋" w:eastAsia="仿宋" w:cs="仿宋"/>
          <w:sz w:val="32"/>
          <w:szCs w:val="32"/>
        </w:rPr>
        <w:t>本部门预算批复时间：</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12</w:t>
      </w:r>
      <w:r>
        <w:rPr>
          <w:rFonts w:hint="eastAsia" w:ascii="仿宋" w:hAnsi="仿宋" w:eastAsia="仿宋" w:cs="仿宋"/>
          <w:sz w:val="32"/>
          <w:szCs w:val="32"/>
        </w:rPr>
        <w:t>日</w:t>
      </w:r>
    </w:p>
    <w:p>
      <w:pPr>
        <w:ind w:firstLine="1600" w:firstLineChars="500"/>
        <w:rPr>
          <w:rFonts w:ascii="仿宋" w:hAnsi="仿宋" w:eastAsia="仿宋" w:cs="仿宋"/>
          <w:sz w:val="32"/>
          <w:szCs w:val="32"/>
        </w:rPr>
      </w:pPr>
      <w:r>
        <w:rPr>
          <w:rFonts w:hint="eastAsia" w:ascii="仿宋" w:hAnsi="仿宋" w:eastAsia="仿宋" w:cs="仿宋"/>
          <w:sz w:val="32"/>
          <w:szCs w:val="32"/>
        </w:rPr>
        <w:t>本部门预算批复文件号：承财预【</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13</w:t>
      </w:r>
      <w:r>
        <w:rPr>
          <w:rFonts w:hint="eastAsia" w:ascii="仿宋" w:hAnsi="仿宋" w:eastAsia="仿宋" w:cs="仿宋"/>
          <w:sz w:val="32"/>
          <w:szCs w:val="32"/>
        </w:rPr>
        <w:t>号</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宋体-方正超大字符集">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16</w:t>
    </w:r>
    <w:r>
      <w:rPr>
        <w:rStyle w:val="10"/>
      </w:rPr>
      <w:fldChar w:fldCharType="end"/>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2D"/>
    <w:multiLevelType w:val="singleLevel"/>
    <w:tmpl w:val="58818F2D"/>
    <w:lvl w:ilvl="0" w:tentative="0">
      <w:start w:val="2"/>
      <w:numFmt w:val="decimal"/>
      <w:suff w:val="nothing"/>
      <w:lvlText w:val="%1、"/>
      <w:lvlJc w:val="left"/>
      <w:rPr>
        <w:rFonts w:cs="Times New Roman"/>
      </w:rPr>
    </w:lvl>
  </w:abstractNum>
  <w:abstractNum w:abstractNumId="1">
    <w:nsid w:val="5881B3F2"/>
    <w:multiLevelType w:val="singleLevel"/>
    <w:tmpl w:val="5881B3F2"/>
    <w:lvl w:ilvl="0" w:tentative="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37AF6"/>
    <w:rsid w:val="00075D5F"/>
    <w:rsid w:val="000B3E8D"/>
    <w:rsid w:val="000C3A19"/>
    <w:rsid w:val="00107E6C"/>
    <w:rsid w:val="001245BB"/>
    <w:rsid w:val="001D039D"/>
    <w:rsid w:val="001E416C"/>
    <w:rsid w:val="00241FD4"/>
    <w:rsid w:val="00251B12"/>
    <w:rsid w:val="00296113"/>
    <w:rsid w:val="002F3E58"/>
    <w:rsid w:val="0030542C"/>
    <w:rsid w:val="00311B7A"/>
    <w:rsid w:val="00314C7B"/>
    <w:rsid w:val="00324ADD"/>
    <w:rsid w:val="003F0956"/>
    <w:rsid w:val="003F3747"/>
    <w:rsid w:val="00430F32"/>
    <w:rsid w:val="00451871"/>
    <w:rsid w:val="00472923"/>
    <w:rsid w:val="004E3066"/>
    <w:rsid w:val="004E74CD"/>
    <w:rsid w:val="00573562"/>
    <w:rsid w:val="00583138"/>
    <w:rsid w:val="00614A29"/>
    <w:rsid w:val="006C4D3A"/>
    <w:rsid w:val="006E3FDA"/>
    <w:rsid w:val="0075393C"/>
    <w:rsid w:val="00776C08"/>
    <w:rsid w:val="007E1DA8"/>
    <w:rsid w:val="007F6C26"/>
    <w:rsid w:val="008334AE"/>
    <w:rsid w:val="00836FED"/>
    <w:rsid w:val="00845CD2"/>
    <w:rsid w:val="00852B0D"/>
    <w:rsid w:val="00867777"/>
    <w:rsid w:val="00881692"/>
    <w:rsid w:val="00887B5F"/>
    <w:rsid w:val="008B3CC5"/>
    <w:rsid w:val="008E4261"/>
    <w:rsid w:val="008F3E86"/>
    <w:rsid w:val="008F4662"/>
    <w:rsid w:val="00905D08"/>
    <w:rsid w:val="00925753"/>
    <w:rsid w:val="00966C5C"/>
    <w:rsid w:val="00973104"/>
    <w:rsid w:val="00A72D2E"/>
    <w:rsid w:val="00A911E7"/>
    <w:rsid w:val="00A939D9"/>
    <w:rsid w:val="00B20712"/>
    <w:rsid w:val="00B43238"/>
    <w:rsid w:val="00B75216"/>
    <w:rsid w:val="00B91028"/>
    <w:rsid w:val="00B91D52"/>
    <w:rsid w:val="00BA1ACD"/>
    <w:rsid w:val="00CA7176"/>
    <w:rsid w:val="00CC163D"/>
    <w:rsid w:val="00CD2773"/>
    <w:rsid w:val="00CE143B"/>
    <w:rsid w:val="00D67328"/>
    <w:rsid w:val="00D74B13"/>
    <w:rsid w:val="00E167C7"/>
    <w:rsid w:val="00EC47F6"/>
    <w:rsid w:val="00F66032"/>
    <w:rsid w:val="00F958C2"/>
    <w:rsid w:val="013C5898"/>
    <w:rsid w:val="01F55FB5"/>
    <w:rsid w:val="01FB23CB"/>
    <w:rsid w:val="02FE6B83"/>
    <w:rsid w:val="04146CC4"/>
    <w:rsid w:val="05263643"/>
    <w:rsid w:val="056B19C1"/>
    <w:rsid w:val="059E2D39"/>
    <w:rsid w:val="0A95630D"/>
    <w:rsid w:val="0AE6608D"/>
    <w:rsid w:val="0B0D77B0"/>
    <w:rsid w:val="0B3736ED"/>
    <w:rsid w:val="0BD16F5F"/>
    <w:rsid w:val="0C3D5924"/>
    <w:rsid w:val="0C434D76"/>
    <w:rsid w:val="0C6572AC"/>
    <w:rsid w:val="0D9F1876"/>
    <w:rsid w:val="0FE4471B"/>
    <w:rsid w:val="10A41AF3"/>
    <w:rsid w:val="10ED36A0"/>
    <w:rsid w:val="114917E9"/>
    <w:rsid w:val="13620F0F"/>
    <w:rsid w:val="13C50294"/>
    <w:rsid w:val="13C77FAF"/>
    <w:rsid w:val="158D55FE"/>
    <w:rsid w:val="15F42192"/>
    <w:rsid w:val="16357ACC"/>
    <w:rsid w:val="1708562B"/>
    <w:rsid w:val="17225FD6"/>
    <w:rsid w:val="173C672A"/>
    <w:rsid w:val="17734FFD"/>
    <w:rsid w:val="18057F67"/>
    <w:rsid w:val="18257CD0"/>
    <w:rsid w:val="18BD502D"/>
    <w:rsid w:val="19C36DAA"/>
    <w:rsid w:val="1A5D684E"/>
    <w:rsid w:val="1ABE55EE"/>
    <w:rsid w:val="1C7C1DFC"/>
    <w:rsid w:val="1D3D1517"/>
    <w:rsid w:val="1D3D5BBB"/>
    <w:rsid w:val="1D954D97"/>
    <w:rsid w:val="21C65CC5"/>
    <w:rsid w:val="222F228E"/>
    <w:rsid w:val="235477AD"/>
    <w:rsid w:val="24C10334"/>
    <w:rsid w:val="25D213CD"/>
    <w:rsid w:val="277A2C42"/>
    <w:rsid w:val="28614CAD"/>
    <w:rsid w:val="2A012DF7"/>
    <w:rsid w:val="2B7544C5"/>
    <w:rsid w:val="2C2678D2"/>
    <w:rsid w:val="2D4D77F9"/>
    <w:rsid w:val="2E144FEA"/>
    <w:rsid w:val="30182132"/>
    <w:rsid w:val="303D4E30"/>
    <w:rsid w:val="316E2FA4"/>
    <w:rsid w:val="328E1087"/>
    <w:rsid w:val="32D51C27"/>
    <w:rsid w:val="335C30CB"/>
    <w:rsid w:val="33AC3860"/>
    <w:rsid w:val="34664BF2"/>
    <w:rsid w:val="3507028C"/>
    <w:rsid w:val="3595643A"/>
    <w:rsid w:val="360A5CED"/>
    <w:rsid w:val="38DB04DD"/>
    <w:rsid w:val="38E01BC5"/>
    <w:rsid w:val="3BF04AA8"/>
    <w:rsid w:val="3CD42DDC"/>
    <w:rsid w:val="3CF21FD1"/>
    <w:rsid w:val="3CF80847"/>
    <w:rsid w:val="3EAA6349"/>
    <w:rsid w:val="3F11281A"/>
    <w:rsid w:val="3F627F5F"/>
    <w:rsid w:val="3FC055D7"/>
    <w:rsid w:val="3FC1095E"/>
    <w:rsid w:val="3FE66F47"/>
    <w:rsid w:val="40113566"/>
    <w:rsid w:val="403A209A"/>
    <w:rsid w:val="40C41907"/>
    <w:rsid w:val="429960CF"/>
    <w:rsid w:val="430B39CB"/>
    <w:rsid w:val="4385651A"/>
    <w:rsid w:val="43D16BB0"/>
    <w:rsid w:val="44B9521C"/>
    <w:rsid w:val="4565409A"/>
    <w:rsid w:val="45671195"/>
    <w:rsid w:val="45C76287"/>
    <w:rsid w:val="471D5503"/>
    <w:rsid w:val="492C0AE6"/>
    <w:rsid w:val="49A001C6"/>
    <w:rsid w:val="49DC523F"/>
    <w:rsid w:val="4A1A601E"/>
    <w:rsid w:val="4A322D4B"/>
    <w:rsid w:val="4A5B700A"/>
    <w:rsid w:val="4DF57B76"/>
    <w:rsid w:val="4E1B282F"/>
    <w:rsid w:val="4E3E3996"/>
    <w:rsid w:val="4E3F0BF1"/>
    <w:rsid w:val="4E43030A"/>
    <w:rsid w:val="4E4F2575"/>
    <w:rsid w:val="4F2C05FA"/>
    <w:rsid w:val="4FB06E7B"/>
    <w:rsid w:val="53946A87"/>
    <w:rsid w:val="541C1C0A"/>
    <w:rsid w:val="5457211F"/>
    <w:rsid w:val="550F43B1"/>
    <w:rsid w:val="55145A25"/>
    <w:rsid w:val="55383E38"/>
    <w:rsid w:val="58021A10"/>
    <w:rsid w:val="5911172D"/>
    <w:rsid w:val="59870472"/>
    <w:rsid w:val="5A171B5D"/>
    <w:rsid w:val="5B953B98"/>
    <w:rsid w:val="5E731884"/>
    <w:rsid w:val="5E776F3C"/>
    <w:rsid w:val="62F17941"/>
    <w:rsid w:val="63010BEB"/>
    <w:rsid w:val="639246A3"/>
    <w:rsid w:val="63AF7BBB"/>
    <w:rsid w:val="641F6416"/>
    <w:rsid w:val="659F071B"/>
    <w:rsid w:val="67706CC4"/>
    <w:rsid w:val="678A783D"/>
    <w:rsid w:val="67DA6980"/>
    <w:rsid w:val="67F107BD"/>
    <w:rsid w:val="681E4A83"/>
    <w:rsid w:val="685B7F7B"/>
    <w:rsid w:val="6C053E44"/>
    <w:rsid w:val="6C3C0100"/>
    <w:rsid w:val="6C727EEC"/>
    <w:rsid w:val="6CA86ED0"/>
    <w:rsid w:val="6CAD0CBD"/>
    <w:rsid w:val="6DB12A95"/>
    <w:rsid w:val="6E0A1A76"/>
    <w:rsid w:val="6E627CC5"/>
    <w:rsid w:val="7051671E"/>
    <w:rsid w:val="724C7A91"/>
    <w:rsid w:val="72617A36"/>
    <w:rsid w:val="73BF4161"/>
    <w:rsid w:val="76310A46"/>
    <w:rsid w:val="763914EE"/>
    <w:rsid w:val="79922C7F"/>
    <w:rsid w:val="7A796DBE"/>
    <w:rsid w:val="7B6529C7"/>
    <w:rsid w:val="7CA562A6"/>
    <w:rsid w:val="7DBA449D"/>
    <w:rsid w:val="7DE94402"/>
    <w:rsid w:val="7E2B65CD"/>
    <w:rsid w:val="7EB2342C"/>
    <w:rsid w:val="7EB763F1"/>
    <w:rsid w:val="7F1664F5"/>
    <w:rsid w:val="7F7E679B"/>
    <w:rsid w:val="7FBC79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semiHidden/>
    <w:qFormat/>
    <w:uiPriority w:val="99"/>
    <w:pPr>
      <w:ind w:firstLine="708" w:firstLineChars="337"/>
    </w:p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4"/>
    <w:semiHidden/>
    <w:qFormat/>
    <w:uiPriority w:val="99"/>
    <w:pPr>
      <w:snapToGrid w:val="0"/>
      <w:jc w:val="left"/>
    </w:pPr>
    <w:rPr>
      <w:rFonts w:cs="Times New Roman"/>
      <w:sz w:val="18"/>
      <w:szCs w:val="18"/>
    </w:rPr>
  </w:style>
  <w:style w:type="paragraph" w:styleId="7">
    <w:name w:val="toc 2"/>
    <w:basedOn w:val="1"/>
    <w:next w:val="1"/>
    <w:qFormat/>
    <w:uiPriority w:val="99"/>
    <w:pPr>
      <w:ind w:left="420" w:leftChars="200"/>
    </w:pPr>
    <w:rPr>
      <w:rFonts w:ascii="Times New Roman" w:hAnsi="Times New Roman" w:cs="Times New Roman"/>
      <w:szCs w:val="24"/>
    </w:rPr>
  </w:style>
  <w:style w:type="character" w:styleId="10">
    <w:name w:val="page number"/>
    <w:basedOn w:val="9"/>
    <w:semiHidden/>
    <w:qFormat/>
    <w:uiPriority w:val="99"/>
    <w:rPr>
      <w:rFonts w:cs="Times New Roman"/>
    </w:rPr>
  </w:style>
  <w:style w:type="character" w:styleId="11">
    <w:name w:val="footnote reference"/>
    <w:basedOn w:val="9"/>
    <w:semiHidden/>
    <w:qFormat/>
    <w:uiPriority w:val="99"/>
    <w:rPr>
      <w:rFonts w:cs="Times New Roman"/>
      <w:vertAlign w:val="superscript"/>
    </w:rPr>
  </w:style>
  <w:style w:type="character" w:customStyle="1" w:styleId="12">
    <w:name w:val="Footer Char"/>
    <w:basedOn w:val="9"/>
    <w:link w:val="3"/>
    <w:qFormat/>
    <w:locked/>
    <w:uiPriority w:val="99"/>
    <w:rPr>
      <w:rFonts w:ascii="Times New Roman" w:hAnsi="Times New Roman" w:eastAsia="宋体" w:cs="Times New Roman"/>
      <w:sz w:val="18"/>
      <w:szCs w:val="18"/>
    </w:rPr>
  </w:style>
  <w:style w:type="character" w:customStyle="1" w:styleId="13">
    <w:name w:val="Header Char"/>
    <w:basedOn w:val="9"/>
    <w:link w:val="4"/>
    <w:qFormat/>
    <w:locked/>
    <w:uiPriority w:val="99"/>
    <w:rPr>
      <w:rFonts w:ascii="Times New Roman" w:hAnsi="Times New Roman" w:eastAsia="宋体" w:cs="Times New Roman"/>
      <w:sz w:val="18"/>
      <w:szCs w:val="18"/>
    </w:rPr>
  </w:style>
  <w:style w:type="character" w:customStyle="1" w:styleId="14">
    <w:name w:val="Footnote Text Char"/>
    <w:basedOn w:val="9"/>
    <w:link w:val="6"/>
    <w:semiHidden/>
    <w:qFormat/>
    <w:uiPriority w:val="99"/>
    <w:rPr>
      <w:rFonts w:cs="黑体"/>
      <w:sz w:val="18"/>
      <w:szCs w:val="18"/>
    </w:rPr>
  </w:style>
  <w:style w:type="paragraph" w:customStyle="1" w:styleId="15">
    <w:name w:val="p0"/>
    <w:next w:val="2"/>
    <w:qFormat/>
    <w:uiPriority w:val="99"/>
    <w:pPr>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1636</Words>
  <Characters>9326</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Administrator</cp:lastModifiedBy>
  <cp:lastPrinted>2017-02-07T01:57:00Z</cp:lastPrinted>
  <dcterms:modified xsi:type="dcterms:W3CDTF">2021-04-28T14:39:09Z</dcterms:modified>
  <dc:title>河北省2017年部门预算信息公开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A5EE4953ECC54428BAF482D7E347836E</vt:lpwstr>
  </property>
</Properties>
</file>