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pStyle w:val="48"/>
        <w:tabs>
          <w:tab w:val="right" w:leader="dot" w:pos="14562"/>
        </w:tabs>
        <w:jc w:val="center"/>
        <w:rPr>
          <w:rFonts w:hint="eastAsia" w:ascii="黑体" w:hAnsi="黑体" w:eastAsia="黑体" w:cs="黑体"/>
          <w:b/>
          <w:bCs/>
          <w:sz w:val="44"/>
          <w:lang w:eastAsia="zh-CN"/>
        </w:rPr>
      </w:pPr>
      <w:r>
        <w:rPr>
          <w:rFonts w:hint="eastAsia" w:ascii="黑体" w:hAnsi="黑体" w:eastAsia="黑体" w:cs="黑体"/>
          <w:b/>
          <w:bCs/>
          <w:sz w:val="44"/>
          <w:lang w:eastAsia="zh-CN"/>
        </w:rPr>
        <w:t>承德市工业和信息化局</w:t>
      </w:r>
    </w:p>
    <w:p>
      <w:pPr>
        <w:pStyle w:val="48"/>
        <w:tabs>
          <w:tab w:val="right" w:leader="dot" w:pos="14562"/>
        </w:tabs>
        <w:jc w:val="center"/>
        <w:rPr>
          <w:rFonts w:hint="eastAsia" w:ascii="黑体" w:hAnsi="黑体" w:eastAsia="黑体" w:cs="黑体"/>
          <w:b/>
          <w:bCs/>
          <w:sz w:val="44"/>
        </w:rPr>
      </w:pPr>
      <w:r>
        <w:rPr>
          <w:rFonts w:hint="eastAsia" w:ascii="黑体" w:hAnsi="黑体" w:eastAsia="黑体" w:cs="黑体"/>
          <w:b/>
          <w:bCs/>
          <w:sz w:val="44"/>
        </w:rPr>
        <w:t>所属单位202</w:t>
      </w:r>
      <w:r>
        <w:rPr>
          <w:rFonts w:hint="eastAsia" w:ascii="黑体" w:hAnsi="黑体" w:eastAsia="黑体" w:cs="黑体"/>
          <w:b/>
          <w:bCs/>
          <w:sz w:val="44"/>
          <w:lang w:val="en-US" w:eastAsia="zh-CN"/>
        </w:rPr>
        <w:t>1</w:t>
      </w:r>
      <w:r>
        <w:rPr>
          <w:rFonts w:hint="eastAsia" w:ascii="黑体" w:hAnsi="黑体" w:eastAsia="黑体" w:cs="黑体"/>
          <w:b/>
          <w:bCs/>
          <w:sz w:val="44"/>
        </w:rPr>
        <w:t>年单位预算信息公开</w:t>
      </w:r>
    </w:p>
    <w:p>
      <w:pPr>
        <w:pStyle w:val="48"/>
        <w:tabs>
          <w:tab w:val="right" w:leader="dot" w:pos="14562"/>
        </w:tabs>
        <w:jc w:val="center"/>
        <w:rPr>
          <w:rFonts w:hint="eastAsia" w:asciiTheme="minorEastAsia" w:hAnsiTheme="minorEastAsia" w:eastAsiaTheme="minorEastAsia" w:cstheme="minorEastAsia"/>
          <w:b/>
          <w:bCs/>
          <w:sz w:val="44"/>
        </w:rPr>
      </w:pPr>
    </w:p>
    <w:p>
      <w:pPr>
        <w:pStyle w:val="48"/>
        <w:tabs>
          <w:tab w:val="right" w:leader="dot" w:pos="14562"/>
        </w:tabs>
        <w:jc w:val="center"/>
        <w:rPr>
          <w:rFonts w:hint="eastAsia" w:asciiTheme="minorEastAsia" w:hAnsiTheme="minorEastAsia" w:eastAsiaTheme="minorEastAsia" w:cstheme="minorEastAsia"/>
          <w:b/>
          <w:bCs/>
          <w:sz w:val="44"/>
        </w:rPr>
      </w:pPr>
    </w:p>
    <w:p>
      <w:pPr>
        <w:pStyle w:val="48"/>
        <w:tabs>
          <w:tab w:val="right" w:leader="dot" w:pos="14562"/>
        </w:tabs>
        <w:jc w:val="left"/>
        <w:rPr>
          <w:rFonts w:hint="eastAsia" w:asciiTheme="minorEastAsia" w:hAnsiTheme="minorEastAsia" w:eastAsiaTheme="minorEastAsia" w:cstheme="minorEastAsia"/>
          <w:b/>
          <w:bCs/>
          <w:sz w:val="44"/>
        </w:rPr>
      </w:pPr>
      <w:r>
        <w:rPr>
          <w:rFonts w:hint="eastAsia" w:asciiTheme="minorEastAsia" w:hAnsiTheme="minorEastAsia" w:eastAsiaTheme="minorEastAsia" w:cstheme="minorEastAsia"/>
          <w:b w:val="0"/>
          <w:bCs w:val="0"/>
          <w:sz w:val="36"/>
          <w:szCs w:val="36"/>
          <w:lang w:eastAsia="zh-CN"/>
        </w:rPr>
        <w:t>一、承德市工业和信息化局本级收支预算</w:t>
      </w: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0"/>
        <w:gridCol w:w="4457"/>
        <w:gridCol w:w="1739"/>
        <w:gridCol w:w="5205"/>
        <w:gridCol w:w="2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bookmarkStart w:id="1" w:name="_Toc_4_4_0000000019"/>
            <w:r>
              <w:rPr>
                <w:rFonts w:hint="eastAsia" w:asciiTheme="minorEastAsia" w:hAnsiTheme="minorEastAsia" w:eastAsiaTheme="minorEastAsia" w:cstheme="minorEastAsia"/>
                <w:b/>
                <w:bCs/>
                <w:color w:val="000000"/>
                <w:sz w:val="48"/>
                <w:szCs w:val="48"/>
              </w:rPr>
              <w:t>承德市工业和信息化局本级收支预算</w:t>
            </w:r>
            <w:bookmarkEnd w:id="1"/>
          </w:p>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56" w:type="pct"/>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1733"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10"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24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4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7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7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7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r>
    </w:tbl>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2"/>
        <w:gridCol w:w="1503"/>
        <w:gridCol w:w="3096"/>
        <w:gridCol w:w="1704"/>
        <w:gridCol w:w="1100"/>
        <w:gridCol w:w="1091"/>
        <w:gridCol w:w="812"/>
        <w:gridCol w:w="812"/>
        <w:gridCol w:w="828"/>
        <w:gridCol w:w="813"/>
        <w:gridCol w:w="813"/>
        <w:gridCol w:w="813"/>
        <w:gridCol w:w="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1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93" w:type="pct"/>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552"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553"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4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5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401"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财政专户收入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资源勘探工业信息等支出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工业和信息产业监管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2150517</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9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0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6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7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69"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7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outlineLvl w:val="1"/>
        <w:rPr>
          <w:rFonts w:ascii="方正小标宋_GBK" w:hAnsi="方正小标宋_GBK" w:eastAsia="方正小标宋_GBK" w:cs="方正小标宋_GBK"/>
          <w:color w:val="000000"/>
          <w:sz w:val="36"/>
        </w:rPr>
      </w:pPr>
    </w:p>
    <w:p>
      <w:pPr>
        <w:jc w:val="both"/>
        <w:outlineLvl w:val="1"/>
        <w:rPr>
          <w:rFonts w:ascii="方正小标宋_GBK" w:hAnsi="方正小标宋_GBK" w:eastAsia="方正小标宋_GBK" w:cs="方正小标宋_GBK"/>
          <w:color w:val="000000"/>
          <w:sz w:val="36"/>
        </w:rPr>
      </w:pPr>
    </w:p>
    <w:bookmarkEnd w:id="0"/>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3"/>
        <w:gridCol w:w="1745"/>
        <w:gridCol w:w="4274"/>
        <w:gridCol w:w="1619"/>
        <w:gridCol w:w="1538"/>
        <w:gridCol w:w="1402"/>
        <w:gridCol w:w="1225"/>
        <w:gridCol w:w="1222"/>
        <w:gridCol w:w="1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308"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875"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16"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0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5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经营支出</w:t>
            </w:r>
          </w:p>
        </w:tc>
        <w:tc>
          <w:tcPr>
            <w:tcW w:w="4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上缴上级支出</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2586.46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资源勘探工业信息等支出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工业和信息产业监管</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2150501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2150517</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3559"/>
        <w:gridCol w:w="1280"/>
        <w:gridCol w:w="4070"/>
        <w:gridCol w:w="1434"/>
        <w:gridCol w:w="1434"/>
        <w:gridCol w:w="1271"/>
        <w:gridCol w:w="1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4996"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194"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954"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47"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6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31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政府性基金预算财政拨款</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九、社会保险基金支出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十、卫生健康支出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十一、节能环保支出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十二、城乡社区支出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十三、农林水支出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十四、交通运输支出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十五、资源勘探工业信息等支出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十六、商业服务业等支出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十七、金融支出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十八、援助其他地区支出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二十、住房保障支出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二十四、预备费</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二十五、其他支出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二十六、转移性支出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二十七、债务还本支出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二十八、债务付息支出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三十、抗疫特别国债安排的支出</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年初财政拨款结转和结余</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年末财政拨款结转和结余</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收入总计</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1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支出总计</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3"/>
        <w:gridCol w:w="1715"/>
        <w:gridCol w:w="4207"/>
        <w:gridCol w:w="1460"/>
        <w:gridCol w:w="1583"/>
        <w:gridCol w:w="1994"/>
        <w:gridCol w:w="1222"/>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3259" w:type="pct"/>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1071" w:type="pct"/>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669"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9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支出功能分类科目</w:t>
            </w: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59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2666.46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2586.46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2384.54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1442.17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1386.90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1412.50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1357.23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行政单位离退休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1305.74</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1250.47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55.27</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29.67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死亡抚恤</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2080802</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伤残抚恤</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行政单位医疗</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资源勘探工业信息等支出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905.84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工业和信息产业监管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1132.49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905.84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2150501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1052.49</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905.84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146.65</w:t>
            </w: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2150517</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产业发展</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1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8"/>
        <w:gridCol w:w="1679"/>
        <w:gridCol w:w="5003"/>
        <w:gridCol w:w="2418"/>
        <w:gridCol w:w="2255"/>
        <w:gridCol w:w="2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469"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75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778"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22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支出部门经济分类科目</w:t>
            </w:r>
          </w:p>
        </w:tc>
        <w:tc>
          <w:tcPr>
            <w:tcW w:w="23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2586.46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2384.54</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1104.32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1104.32</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基本工资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378.30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津贴补贴</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298.29</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298.29</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奖金</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192.73</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192.73</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绩效工资</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35.90</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106.76</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其他社会保障缴费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80.07</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邮电费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差旅费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3021202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其他因公出国（境）费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工会经费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福利费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其他交通费用</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54.40</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其他商品和服务支出</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56.83</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1280.22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1280.22</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离休费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247.79</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247.79</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退休费</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1002.68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1002.68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抚恤金</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11.15</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生活补助</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18.52</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1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奖励金</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7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7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both"/>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2760"/>
        <w:gridCol w:w="2589"/>
        <w:gridCol w:w="2967"/>
        <w:gridCol w:w="2649"/>
        <w:gridCol w:w="2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27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部门编码及名称：[593001]承德市工业和信息化局</w:t>
            </w:r>
          </w:p>
        </w:tc>
        <w:tc>
          <w:tcPr>
            <w:tcW w:w="882"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846"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9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8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8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9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9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9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282"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注：无政府基金预算，空表列示。</w:t>
            </w:r>
          </w:p>
        </w:tc>
        <w:tc>
          <w:tcPr>
            <w:tcW w:w="987"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8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4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02"/>
        <w:gridCol w:w="1874"/>
        <w:gridCol w:w="1685"/>
        <w:gridCol w:w="2201"/>
        <w:gridCol w:w="1754"/>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849"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部门编码及名称：[593001]承德市工业和信息化局</w:t>
            </w:r>
          </w:p>
        </w:tc>
        <w:tc>
          <w:tcPr>
            <w:tcW w:w="58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566"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8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7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5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93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注：无国有资本经营预算，空表列示。</w:t>
            </w:r>
          </w:p>
        </w:tc>
        <w:tc>
          <w:tcPr>
            <w:tcW w:w="62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3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8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5199"/>
        <w:gridCol w:w="2234"/>
        <w:gridCol w:w="2352"/>
        <w:gridCol w:w="2418"/>
        <w:gridCol w:w="1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000" w:type="pct"/>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单位预算财政拨款“三公”经费支出表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530" w:type="pct"/>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预算单位编码及名称：[593001]承德市工业和信息化局</w:t>
            </w:r>
          </w:p>
        </w:tc>
        <w:tc>
          <w:tcPr>
            <w:tcW w:w="80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663"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299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7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7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6.24</w:t>
            </w:r>
          </w:p>
        </w:tc>
        <w:tc>
          <w:tcPr>
            <w:tcW w:w="8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27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31"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4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8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80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63"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pPr>
    </w:p>
    <w:p>
      <w:pPr>
        <w:jc w:val="center"/>
        <w:outlineLvl w:val="0"/>
        <w:sectPr>
          <w:footerReference r:id="rId6" w:type="default"/>
          <w:footerReference r:id="rId7" w:type="even"/>
          <w:pgSz w:w="16840" w:h="11900" w:orient="landscape"/>
          <w:pgMar w:top="1361" w:right="1020" w:bottom="1361" w:left="1020" w:header="720" w:footer="720" w:gutter="0"/>
          <w:cols w:space="720" w:num="1"/>
        </w:sectPr>
      </w:pPr>
    </w:p>
    <w:p>
      <w:pPr>
        <w:jc w:val="center"/>
        <w:rPr>
          <w:rFonts w:ascii="方正小标宋_GBK" w:hAnsi="方正小标宋_GBK" w:eastAsia="方正小标宋_GBK" w:cs="方正小标宋_GBK"/>
          <w:color w:val="000000"/>
          <w:sz w:val="44"/>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承德市工业和信息化局</w:t>
      </w:r>
      <w:r>
        <w:rPr>
          <w:rFonts w:hint="eastAsia" w:ascii="方正小标宋简体" w:hAnsi="方正小标宋简体" w:eastAsia="方正小标宋简体" w:cs="方正小标宋简体"/>
          <w:b w:val="0"/>
          <w:bCs w:val="0"/>
          <w:sz w:val="44"/>
          <w:szCs w:val="44"/>
        </w:rPr>
        <w:t>20</w:t>
      </w:r>
      <w:r>
        <w:rPr>
          <w:rFonts w:hint="eastAsia" w:ascii="方正小标宋简体" w:hAnsi="方正小标宋简体" w:eastAsia="方正小标宋简体" w:cs="方正小标宋简体"/>
          <w:b w:val="0"/>
          <w:bCs w:val="0"/>
          <w:sz w:val="44"/>
          <w:szCs w:val="44"/>
          <w:lang w:val="en-US" w:eastAsia="zh-CN"/>
        </w:rPr>
        <w:t>21</w:t>
      </w:r>
      <w:r>
        <w:rPr>
          <w:rFonts w:hint="eastAsia" w:ascii="方正小标宋简体" w:hAnsi="方正小标宋简体" w:eastAsia="方正小标宋简体" w:cs="方正小标宋简体"/>
          <w:b w:val="0"/>
          <w:bCs w:val="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单位</w:t>
      </w:r>
      <w:r>
        <w:rPr>
          <w:rFonts w:hint="eastAsia" w:ascii="方正小标宋简体" w:hAnsi="方正小标宋简体" w:eastAsia="方正小标宋简体" w:cs="方正小标宋简体"/>
          <w:b w:val="0"/>
          <w:bCs w:val="0"/>
          <w:sz w:val="44"/>
          <w:szCs w:val="44"/>
        </w:rPr>
        <w:t>预算信息公开</w:t>
      </w:r>
      <w:r>
        <w:rPr>
          <w:rFonts w:hint="eastAsia" w:ascii="方正小标宋简体" w:hAnsi="方正小标宋简体" w:eastAsia="方正小标宋简体" w:cs="方正小标宋简体"/>
          <w:b w:val="0"/>
          <w:bCs w:val="0"/>
          <w:sz w:val="44"/>
          <w:szCs w:val="44"/>
          <w:lang w:eastAsia="zh-CN"/>
        </w:rPr>
        <w:t>情况说明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《地方预决算公开操作规程》和《河北省省级预算公开办法》规定，现将20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预算公开如下：</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单位</w:t>
      </w:r>
      <w:bookmarkStart w:id="6" w:name="_GoBack"/>
      <w:bookmarkEnd w:id="6"/>
      <w:r>
        <w:rPr>
          <w:rFonts w:hint="eastAsia" w:ascii="仿宋_GB2312" w:hAnsi="仿宋_GB2312" w:eastAsia="仿宋_GB2312" w:cs="仿宋_GB2312"/>
          <w:b/>
          <w:sz w:val="32"/>
          <w:szCs w:val="32"/>
        </w:rPr>
        <w:t>职责：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（五）负责对中小企业和民营经济促进工作进行指导、综合协调和监督检查，会同有关部门拟订促进中小企业发展和民营经济发展的相关政策和措施并组织实施，协调解决有关重大问题。</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（十）开展工业、中小企业的对外合作与交流。</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（十一）承担履行《禁止化学武器公约》的组织协调工作。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（十二）承担盐业行业管理工作。</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Style w:val="43"/>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（十三）完成市委、市政府交办的其他任务。</w:t>
      </w: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p>
    <w:p>
      <w:pPr>
        <w:keepNext w:val="0"/>
        <w:keepLines w:val="0"/>
        <w:pageBreakBefore w:val="0"/>
        <w:widowControl w:val="0"/>
        <w:numPr>
          <w:ilvl w:val="0"/>
          <w:numId w:val="0"/>
        </w:numPr>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机构设置：</w:t>
      </w:r>
    </w:p>
    <w:p>
      <w:pPr>
        <w:keepNext w:val="0"/>
        <w:keepLines w:val="0"/>
        <w:pageBreakBefore w:val="0"/>
        <w:widowControl w:val="0"/>
        <w:kinsoku/>
        <w:wordWrap/>
        <w:overflowPunct/>
        <w:topLinePunct w:val="0"/>
        <w:bidi w:val="0"/>
        <w:snapToGrid/>
        <w:spacing w:line="560" w:lineRule="exact"/>
        <w:jc w:val="center"/>
        <w:textAlignment w:val="auto"/>
        <w:outlineLvl w:val="0"/>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eastAsia="zh-CN"/>
        </w:rPr>
        <w:t>单位</w:t>
      </w:r>
      <w:r>
        <w:rPr>
          <w:rFonts w:hint="eastAsia" w:ascii="仿宋_GB2312" w:hAnsi="仿宋_GB2312" w:eastAsia="仿宋_GB2312" w:cs="仿宋_GB2312"/>
          <w:sz w:val="32"/>
          <w:szCs w:val="24"/>
        </w:rPr>
        <w:t>机构设置情况</w:t>
      </w:r>
    </w:p>
    <w:tbl>
      <w:tblPr>
        <w:tblStyle w:val="6"/>
        <w:tblW w:w="8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84"/>
        <w:gridCol w:w="1509"/>
        <w:gridCol w:w="1509"/>
        <w:gridCol w:w="2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5" w:hRule="atLeast"/>
          <w:tblHeader/>
          <w:jc w:val="center"/>
        </w:trPr>
        <w:tc>
          <w:tcPr>
            <w:tcW w:w="3384"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单位名称</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单位性质</w:t>
            </w:r>
          </w:p>
        </w:tc>
        <w:tc>
          <w:tcPr>
            <w:tcW w:w="1509"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单位规格</w:t>
            </w:r>
          </w:p>
        </w:tc>
        <w:tc>
          <w:tcPr>
            <w:tcW w:w="2575" w:type="dxa"/>
            <w:vMerge w:val="restart"/>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tblHeader/>
          <w:jc w:val="center"/>
        </w:trPr>
        <w:tc>
          <w:tcPr>
            <w:tcW w:w="3384"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1509"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c>
          <w:tcPr>
            <w:tcW w:w="2575" w:type="dxa"/>
            <w:vMerge w:val="continue"/>
            <w:vAlign w:val="center"/>
          </w:tcPr>
          <w:p>
            <w:pPr>
              <w:keepNext w:val="0"/>
              <w:keepLines w:val="0"/>
              <w:pageBreakBefore w:val="0"/>
              <w:widowControl w:val="0"/>
              <w:kinsoku/>
              <w:wordWrap/>
              <w:overflowPunct/>
              <w:topLinePunct w:val="0"/>
              <w:bidi w:val="0"/>
              <w:snapToGrid/>
              <w:spacing w:line="560" w:lineRule="exact"/>
              <w:jc w:val="left"/>
              <w:textAlignment w:val="auto"/>
              <w:outlineLvl w:val="0"/>
              <w:rPr>
                <w:rFonts w:hint="eastAsia" w:ascii="仿宋_GB2312" w:hAnsi="仿宋_GB2312" w:eastAsia="仿宋_GB2312" w:cs="仿宋_GB2312"/>
                <w:b w:val="0"/>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8" w:hRule="atLeast"/>
          <w:jc w:val="center"/>
        </w:trPr>
        <w:tc>
          <w:tcPr>
            <w:tcW w:w="3384"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承德市工业和信息化局</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w:t>
            </w:r>
          </w:p>
        </w:tc>
        <w:tc>
          <w:tcPr>
            <w:tcW w:w="1509"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正</w:t>
            </w:r>
            <w:r>
              <w:rPr>
                <w:rFonts w:hint="eastAsia" w:ascii="仿宋_GB2312" w:hAnsi="仿宋_GB2312" w:eastAsia="仿宋_GB2312" w:cs="仿宋_GB2312"/>
                <w:sz w:val="28"/>
                <w:szCs w:val="28"/>
                <w:lang w:val="en-US" w:eastAsia="zh-CN"/>
              </w:rPr>
              <w:t>处</w:t>
            </w:r>
            <w:r>
              <w:rPr>
                <w:rFonts w:hint="eastAsia" w:ascii="仿宋_GB2312" w:hAnsi="仿宋_GB2312" w:eastAsia="仿宋_GB2312" w:cs="仿宋_GB2312"/>
                <w:sz w:val="28"/>
                <w:szCs w:val="28"/>
              </w:rPr>
              <w:t>级</w:t>
            </w:r>
          </w:p>
        </w:tc>
        <w:tc>
          <w:tcPr>
            <w:tcW w:w="2575" w:type="dxa"/>
            <w:vAlign w:val="center"/>
          </w:tcPr>
          <w:p>
            <w:pPr>
              <w:keepNext w:val="0"/>
              <w:keepLines w:val="0"/>
              <w:pageBreakBefore w:val="0"/>
              <w:widowControl w:val="0"/>
              <w:kinsoku/>
              <w:wordWrap/>
              <w:overflowPunct/>
              <w:topLinePunct w:val="0"/>
              <w:bidi w:val="0"/>
              <w:snapToGrid/>
              <w:spacing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财政拨款</w:t>
            </w:r>
          </w:p>
        </w:tc>
      </w:tr>
    </w:tbl>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bidi w:val="0"/>
        <w:snapToGrid/>
        <w:spacing w:line="56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预算安排的总体情况</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预算中。</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以下收入支出为本单位收入支出的汇总</w:t>
      </w:r>
      <w:r>
        <w:rPr>
          <w:rFonts w:hint="eastAsia" w:ascii="仿宋_GB2312" w:hAnsi="仿宋_GB2312" w:eastAsia="仿宋_GB2312" w:cs="仿宋_GB2312"/>
          <w:sz w:val="32"/>
          <w:szCs w:val="32"/>
          <w:lang w:val="en-US" w:eastAsia="zh-CN"/>
        </w:rPr>
        <w:t>,预算单位包括承德市工业和信息化局，下属事业单位不是预算单位，无独立财务管理。</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收入说明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反映本单位当年全部收入，2021年</w:t>
      </w:r>
      <w:r>
        <w:rPr>
          <w:rFonts w:hint="eastAsia" w:ascii="仿宋_GB2312" w:hAnsi="仿宋_GB2312" w:eastAsia="仿宋_GB2312" w:cs="仿宋_GB2312"/>
          <w:color w:val="000000" w:themeColor="text1"/>
          <w:sz w:val="32"/>
          <w:szCs w:val="32"/>
          <w:lang w:eastAsia="zh-CN"/>
          <w14:textFill>
            <w14:solidFill>
              <w14:schemeClr w14:val="tx1"/>
            </w14:solidFill>
          </w14:textFill>
        </w:rPr>
        <w:t>预算收入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万元，其中：非限额补助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2020年预算减少1183.78万元，同比降低30.74%。原因为项目预算收入减少。</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支出说明</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收支预算总表支出栏、基本支出表、项目支出表按经济分类和支出功能分类科目编制，反映承德市工业和信息化局年度单位预算中支出预算的总体情况。</w:t>
      </w: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单位支出</w:t>
      </w:r>
      <w:r>
        <w:rPr>
          <w:rFonts w:hint="eastAsia" w:ascii="仿宋_GB2312" w:hAnsi="仿宋_GB2312" w:eastAsia="仿宋_GB2312" w:cs="仿宋_GB2312"/>
          <w:color w:val="000000" w:themeColor="text1"/>
          <w:sz w:val="32"/>
          <w:szCs w:val="32"/>
          <w14:textFill>
            <w14:solidFill>
              <w14:schemeClr w14:val="tx1"/>
            </w14:solidFill>
          </w14:textFill>
        </w:rPr>
        <w:t>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2666.46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其中基本</w:t>
      </w:r>
      <w:r>
        <w:rPr>
          <w:rFonts w:hint="eastAsia" w:ascii="仿宋_GB2312" w:hAnsi="仿宋_GB2312" w:eastAsia="仿宋_GB2312" w:cs="仿宋_GB2312"/>
          <w:color w:val="000000" w:themeColor="text1"/>
          <w:sz w:val="32"/>
          <w:szCs w:val="32"/>
          <w14:textFill>
            <w14:solidFill>
              <w14:schemeClr w14:val="tx1"/>
            </w14:solidFill>
          </w14:textFill>
        </w:rPr>
        <w:t>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2586.46</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包括人员经费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2384.54万元、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日常</w:t>
      </w:r>
      <w:r>
        <w:rPr>
          <w:rFonts w:hint="eastAsia" w:ascii="仿宋_GB2312" w:hAnsi="仿宋_GB2312" w:eastAsia="仿宋_GB2312" w:cs="仿宋_GB2312"/>
          <w:color w:val="000000" w:themeColor="text1"/>
          <w:sz w:val="32"/>
          <w:szCs w:val="32"/>
          <w14:textFill>
            <w14:solidFill>
              <w14:schemeClr w14:val="tx1"/>
            </w14:solidFill>
          </w14:textFill>
        </w:rPr>
        <w:t>公用经费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201.92万元；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项目支出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80.00万元，全部为本级支出。</w:t>
      </w:r>
      <w:r>
        <w:rPr>
          <w:rFonts w:hint="eastAsia" w:ascii="仿宋_GB2312" w:hAnsi="仿宋_GB2312" w:eastAsia="仿宋_GB2312" w:cs="仿宋_GB2312"/>
          <w:color w:val="000000" w:themeColor="text1"/>
          <w:sz w:val="32"/>
          <w:szCs w:val="32"/>
          <w:lang w:eastAsia="zh-CN"/>
          <w14:textFill>
            <w14:solidFill>
              <w14:schemeClr w14:val="tx1"/>
            </w14:solidFill>
          </w14:textFill>
        </w:rPr>
        <w:t>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2020年预算减少1183.78万元，同比降低30.74%。原因为本年度项目预算支出减少。</w:t>
      </w:r>
    </w:p>
    <w:p>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比上年增减情况</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单位预算较2020年预算减少1183.78万元，同比降低30.74%。其中：基本支出减少83.78万元，同比降低3.13%，原因为在职转退休，工资减少；离退休人员死亡，支出减少；项目支出减少1100万元，同比降低93.22%，原因为项目预算减少。</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机关运行经费共计安排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201.92</w:t>
      </w:r>
      <w:r>
        <w:rPr>
          <w:rFonts w:hint="eastAsia" w:ascii="仿宋_GB2312" w:hAnsi="仿宋_GB2312" w:eastAsia="仿宋_GB2312" w:cs="仿宋_GB2312"/>
          <w:color w:val="000000" w:themeColor="text1"/>
          <w:sz w:val="32"/>
          <w:szCs w:val="32"/>
          <w14:textFill>
            <w14:solidFill>
              <w14:schemeClr w14:val="tx1"/>
            </w14:solidFill>
          </w14:textFill>
        </w:rPr>
        <w:t>万元，主要用于</w:t>
      </w:r>
      <w:r>
        <w:rPr>
          <w:rFonts w:hint="eastAsia" w:ascii="仿宋_GB2312" w:hAnsi="仿宋_GB2312" w:eastAsia="仿宋_GB2312" w:cs="仿宋_GB2312"/>
          <w:color w:val="000000" w:themeColor="text1"/>
          <w:sz w:val="32"/>
          <w:szCs w:val="32"/>
          <w:lang w:eastAsia="zh-CN"/>
          <w14:textFill>
            <w14:solidFill>
              <w14:schemeClr w14:val="tx1"/>
            </w14:solidFill>
          </w14:textFill>
        </w:rPr>
        <w:t>保证机关正常运转的办公及印刷费、邮电费、差旅费、会议费、福利费、专用材料及一般设备购置费、办公用房水电费、办公用房取暖费、日常维修费、办公楼物业管理费、公务车运行维护费等支出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其中：办公费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15.56万元、邮电费37.56万元、差旅费5.00万元、因公出国费10.00万元、公务接待费1.24万元（不含公用经费中5.00万元公务接待费）、福利费9.46万元、工会经费7.67万元、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公务用车运行费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4.20万元（不含公用经费中5.00万元公车运行费）、公务交通补贴54.40万元、党组织活动经费1.56万元、离退休人员公用经费23.41万元、离退休人员福利费31.86万元。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较上年公开数据减少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5.14万元，同比降低2.48%。减少原因为人员减少经费降低。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60" w:lineRule="exact"/>
        <w:ind w:left="0"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年，财政拨款“三公”经费预算安排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25.44</w:t>
      </w:r>
      <w:r>
        <w:rPr>
          <w:rFonts w:hint="eastAsia" w:ascii="仿宋_GB2312" w:hAnsi="仿宋_GB2312" w:eastAsia="仿宋_GB2312" w:cs="仿宋_GB2312"/>
          <w:color w:val="000000" w:themeColor="text1"/>
          <w:sz w:val="32"/>
          <w:szCs w:val="32"/>
          <w14:textFill>
            <w14:solidFill>
              <w14:schemeClr w14:val="tx1"/>
            </w14:solidFill>
          </w14:textFill>
        </w:rPr>
        <w:t>万元，其中</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因公出国（境）费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万元；公务用车购置及运维费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9.20</w:t>
      </w:r>
      <w:r>
        <w:rPr>
          <w:rFonts w:hint="eastAsia" w:ascii="仿宋_GB2312" w:hAnsi="仿宋_GB2312" w:eastAsia="仿宋_GB2312" w:cs="仿宋_GB2312"/>
          <w:color w:val="000000" w:themeColor="text1"/>
          <w:sz w:val="32"/>
          <w:szCs w:val="32"/>
          <w14:textFill>
            <w14:solidFill>
              <w14:schemeClr w14:val="tx1"/>
            </w14:solidFill>
          </w14:textFill>
        </w:rPr>
        <w:t>万元（其中：公务用车运行费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9.20</w:t>
      </w:r>
      <w:r>
        <w:rPr>
          <w:rFonts w:hint="eastAsia" w:ascii="仿宋_GB2312" w:hAnsi="仿宋_GB2312" w:eastAsia="仿宋_GB2312" w:cs="仿宋_GB2312"/>
          <w:color w:val="000000" w:themeColor="text1"/>
          <w:sz w:val="32"/>
          <w:szCs w:val="32"/>
          <w14:textFill>
            <w14:solidFill>
              <w14:schemeClr w14:val="tx1"/>
            </w14:solidFill>
          </w14:textFill>
        </w:rPr>
        <w:t>万元)；公务接待费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6.24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“三公”经费比上年预算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增加12.88万元，同比增加102.54%。原因为2020年因公出国</w:t>
      </w:r>
      <w:r>
        <w:rPr>
          <w:rFonts w:hint="eastAsia" w:ascii="仿宋_GB2312" w:hAnsi="仿宋_GB2312" w:eastAsia="仿宋_GB2312" w:cs="仿宋_GB2312"/>
          <w:color w:val="000000" w:themeColor="text1"/>
          <w:sz w:val="32"/>
          <w:szCs w:val="32"/>
          <w14:textFill>
            <w14:solidFill>
              <w14:schemeClr w14:val="tx1"/>
            </w14:solidFill>
          </w14:textFill>
        </w:rPr>
        <w:t>（境）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费财政预留，未在部门预算中批复，三公经费总体增加。其中：</w:t>
      </w:r>
      <w:r>
        <w:rPr>
          <w:rFonts w:hint="eastAsia" w:ascii="仿宋_GB2312" w:hAnsi="仿宋_GB2312" w:eastAsia="仿宋_GB2312" w:cs="仿宋_GB2312"/>
          <w:color w:val="000000" w:themeColor="text1"/>
          <w:sz w:val="32"/>
          <w:szCs w:val="32"/>
          <w14:textFill>
            <w14:solidFill>
              <w14:schemeClr w14:val="tx1"/>
            </w14:solidFill>
          </w14:textFill>
        </w:rPr>
        <w:t>因公出国（境）费</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10.00万元，同比增加100%；增加的原因为2020年因公出国</w:t>
      </w:r>
      <w:r>
        <w:rPr>
          <w:rFonts w:hint="eastAsia" w:ascii="仿宋_GB2312" w:hAnsi="仿宋_GB2312" w:eastAsia="仿宋_GB2312" w:cs="仿宋_GB2312"/>
          <w:color w:val="000000" w:themeColor="text1"/>
          <w:sz w:val="32"/>
          <w:szCs w:val="32"/>
          <w14:textFill>
            <w14:solidFill>
              <w14:schemeClr w14:val="tx1"/>
            </w14:solidFill>
          </w14:textFill>
        </w:rPr>
        <w:t>（境）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费财政预留，财政未在部门预算中批复；</w:t>
      </w:r>
      <w:r>
        <w:rPr>
          <w:rFonts w:hint="eastAsia" w:ascii="仿宋_GB2312" w:hAnsi="仿宋_GB2312" w:eastAsia="仿宋_GB2312" w:cs="仿宋_GB2312"/>
          <w:color w:val="000000" w:themeColor="text1"/>
          <w:sz w:val="32"/>
          <w:szCs w:val="32"/>
          <w14:textFill>
            <w14:solidFill>
              <w14:schemeClr w14:val="tx1"/>
            </w14:solidFill>
          </w14:textFill>
        </w:rPr>
        <w:t>公务用车购置及运维费</w:t>
      </w:r>
      <w:r>
        <w:rPr>
          <w:rFonts w:hint="eastAsia" w:ascii="仿宋_GB2312" w:hAnsi="仿宋_GB2312" w:eastAsia="仿宋_GB2312" w:cs="仿宋_GB2312"/>
          <w:color w:val="000000" w:themeColor="text1"/>
          <w:sz w:val="32"/>
          <w:szCs w:val="32"/>
          <w:lang w:eastAsia="zh-CN"/>
          <w14:textFill>
            <w14:solidFill>
              <w14:schemeClr w14:val="tx1"/>
            </w14:solidFill>
          </w14:textFill>
        </w:rPr>
        <w:t>与上年预算持平；</w:t>
      </w:r>
      <w:r>
        <w:rPr>
          <w:rFonts w:hint="eastAsia" w:ascii="仿宋_GB2312" w:hAnsi="仿宋_GB2312" w:eastAsia="仿宋_GB2312" w:cs="仿宋_GB2312"/>
          <w:color w:val="000000" w:themeColor="text1"/>
          <w:sz w:val="32"/>
          <w:szCs w:val="32"/>
          <w14:textFill>
            <w14:solidFill>
              <w14:schemeClr w14:val="tx1"/>
            </w14:solidFill>
          </w14:textFill>
        </w:rPr>
        <w:t>公务接待费</w:t>
      </w:r>
      <w:r>
        <w:rPr>
          <w:rFonts w:hint="eastAsia" w:ascii="仿宋_GB2312" w:hAnsi="仿宋_GB2312" w:eastAsia="仿宋_GB2312" w:cs="仿宋_GB2312"/>
          <w:color w:val="000000" w:themeColor="text1"/>
          <w:sz w:val="32"/>
          <w:szCs w:val="32"/>
          <w:lang w:eastAsia="zh-CN"/>
          <w14:textFill>
            <w14:solidFill>
              <w14:schemeClr w14:val="tx1"/>
            </w14:solidFill>
          </w14:textFill>
        </w:rPr>
        <w:t>比上年增加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2.88万元，同比增加85.71%，增加原因为本年度接待任务增加，预算增加。</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绩效预算信息</w:t>
      </w:r>
    </w:p>
    <w:p>
      <w:pPr>
        <w:keepNext w:val="0"/>
        <w:keepLines w:val="0"/>
        <w:pageBreakBefore w:val="0"/>
        <w:widowControl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b w:val="0"/>
          <w:bCs/>
          <w:sz w:val="32"/>
          <w:szCs w:val="32"/>
        </w:rPr>
      </w:pPr>
      <w:bookmarkStart w:id="2" w:name="_Toc471398463"/>
      <w:r>
        <w:rPr>
          <w:rFonts w:hint="eastAsia" w:ascii="仿宋_GB2312" w:hAnsi="仿宋_GB2312" w:eastAsia="仿宋_GB2312" w:cs="仿宋_GB2312"/>
          <w:b w:val="0"/>
          <w:bCs/>
          <w:sz w:val="32"/>
          <w:szCs w:val="32"/>
        </w:rPr>
        <w:t xml:space="preserve">第一部分 </w:t>
      </w:r>
      <w:r>
        <w:rPr>
          <w:rFonts w:hint="eastAsia" w:ascii="仿宋_GB2312" w:hAnsi="仿宋_GB2312" w:eastAsia="仿宋_GB2312" w:cs="仿宋_GB2312"/>
          <w:b w:val="0"/>
          <w:bCs/>
          <w:sz w:val="32"/>
          <w:szCs w:val="32"/>
          <w:lang w:eastAsia="zh-CN"/>
        </w:rPr>
        <w:t>单位</w:t>
      </w:r>
      <w:r>
        <w:rPr>
          <w:rFonts w:hint="eastAsia" w:ascii="仿宋_GB2312" w:hAnsi="仿宋_GB2312" w:eastAsia="仿宋_GB2312" w:cs="仿宋_GB2312"/>
          <w:b w:val="0"/>
          <w:bCs/>
          <w:sz w:val="32"/>
          <w:szCs w:val="32"/>
        </w:rPr>
        <w:t>整体绩效目标</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（一）总体绩效目标</w:t>
      </w:r>
    </w:p>
    <w:p>
      <w:pPr>
        <w:pStyle w:val="4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届五中全会精神和省、市委全会精神，坚定不移贯彻新发展理念，紧紧围绕“三区一城”发展定位，深入实施“1266”发展战略，以推动工业高质量发展为目标，着力抓好稳运行保增长、推进产业发展、骨干企业培育、重点项目建设、民营经济发展、产业集群壮大六项重点任务，重点实施产业链现代化、创新引领、融合促进、园区提质、品牌提升五项工程，强化体制机制建设、规划编制、政策支撑、企业服务、招商引资五项保障措施，推动我市工业高端化、智能化、绿色化、服务化发展，确保“十四五”工业发展开好局、起好步。</w:t>
      </w:r>
    </w:p>
    <w:p>
      <w:pPr>
        <w:keepNext w:val="0"/>
        <w:keepLines w:val="0"/>
        <w:pageBreakBefore w:val="0"/>
        <w:widowControl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（二）分项绩效目标</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1.着力稳运行保增长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绩效目标：密切跟踪经济运行态势，加强对重点行业、重点企业的运行监测分析，确保实现工业经济稳定增长。</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绩效指标：实现规模以上工业增加值增速5%左右，新增规上工业企业30家。</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2.着力发展民营经济</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绩效目标：优化民营经济发展环境，鼓励民营企业创新发展，提升民营企业标准化、数字化水平，完善人才引进培养机制，推动民营经济高质量发展。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绩效指标：培训民营企业、中小企业主要经营管理者40人次，运行监测企业上报率85%,民营经济增加值增加6%以上。</w:t>
      </w:r>
    </w:p>
    <w:p>
      <w:pPr>
        <w:pStyle w:val="44"/>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3．着力推进产业发展</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绩效目标：把高质量发展支撑落在产业上，培育壮大大数据产业、特色智能制造产业和新型绿色建材产业，促进更多资源要素向实体经济集聚，努力培育一批新的经济增长点。</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绩效指标：大数据产业实现产值45亿元以上，特色智能制造产业实现产值70亿元以上，新型绿色建材产业建成2个环京砂石骨料基地。</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4．着力推进项目建设</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绩效目标：围绕“3+3”主导产业和县域“1+2”特色产业谋划一批重大产业支撑项目。</w:t>
      </w:r>
    </w:p>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napToGrid/>
        <w:spacing w:line="560" w:lineRule="exact"/>
        <w:ind w:firstLine="645"/>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绩效指标：推进“百企转型”行动和“百项技改”工程，重点实施省级工业企业技改项目50项。</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sz w:val="32"/>
          <w:szCs w:val="32"/>
        </w:rPr>
        <w:t xml:space="preserve"> </w:t>
      </w:r>
      <w:r>
        <w:rPr>
          <w:rFonts w:hint="eastAsia" w:ascii="仿宋_GB2312" w:hAnsi="仿宋_GB2312" w:eastAsia="仿宋_GB2312" w:cs="仿宋_GB2312"/>
          <w:b/>
          <w:bCs/>
          <w:sz w:val="32"/>
          <w:szCs w:val="32"/>
        </w:rPr>
        <w:t>（三）工作保障措施</w:t>
      </w:r>
      <w:bookmarkStart w:id="3" w:name="_Toc536802293"/>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加强组织领导。建立统筹协调、分工协作、密切配合、合力推进的工作机制。根据我市预算绩效管理相关要求，健全完善我局预算绩效管理、预算资金管理等制度规定，按要求开展部门预算绩效实时监控、绩效自评和重点项目评价等工作。围绕年度总体绩效目标和分类绩效目标，细化工作方案，明确责任主体、实施进度要求，确保如期完成。</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2、</w:t>
      </w:r>
      <w:r>
        <w:rPr>
          <w:rFonts w:hint="eastAsia" w:ascii="仿宋_GB2312" w:hAnsi="仿宋_GB2312" w:eastAsia="仿宋_GB2312" w:cs="仿宋_GB2312"/>
        </w:rPr>
        <w:t>狠抓工作落实。按照“谁支出、谁负责”的原则，明确各科室预算绩效管理职责。财务科配合相关科室开展分管项目及内容的预算绩效管理具体工作，实现花钱必问效，确保财务与业务工作紧密衔接。</w:t>
      </w:r>
    </w:p>
    <w:p>
      <w:pPr>
        <w:pStyle w:val="2"/>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3、</w:t>
      </w:r>
      <w:r>
        <w:rPr>
          <w:rFonts w:hint="eastAsia" w:ascii="仿宋_GB2312" w:hAnsi="仿宋_GB2312" w:eastAsia="仿宋_GB2312" w:cs="仿宋_GB2312"/>
        </w:rPr>
        <w:t>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 及早发挥财政资金效益。</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1"/>
        <w:textAlignment w:val="auto"/>
        <w:rPr>
          <w:rFonts w:hint="eastAsia" w:ascii="仿宋_GB2312" w:hAnsi="仿宋_GB2312" w:eastAsia="仿宋_GB2312" w:cs="仿宋_GB2312"/>
        </w:rPr>
      </w:pPr>
      <w:r>
        <w:rPr>
          <w:rFonts w:hint="eastAsia" w:ascii="仿宋_GB2312" w:hAnsi="仿宋_GB2312" w:eastAsia="仿宋_GB2312" w:cs="仿宋_GB2312"/>
          <w:w w:val="95"/>
          <w:lang w:val="en-US" w:eastAsia="zh-CN"/>
        </w:rPr>
        <w:t>4、</w:t>
      </w:r>
      <w:r>
        <w:rPr>
          <w:rFonts w:hint="eastAsia" w:ascii="仿宋_GB2312" w:hAnsi="仿宋_GB2312" w:eastAsia="仿宋_GB2312" w:cs="仿宋_GB2312"/>
          <w:spacing w:val="-10"/>
          <w:w w:val="95"/>
        </w:rPr>
        <w:t xml:space="preserve">完善评价机制。扎实开展绩效自评，制定评价工作方案， </w:t>
      </w:r>
      <w:r>
        <w:rPr>
          <w:rFonts w:hint="eastAsia" w:ascii="仿宋_GB2312" w:hAnsi="仿宋_GB2312" w:eastAsia="仿宋_GB2312" w:cs="仿宋_GB2312"/>
          <w:spacing w:val="-10"/>
        </w:rPr>
        <w:t>明确评价内容、责任科室、评价方法等。必要时，聘请第三方机构独立开展评价。对在绩效评价发现的问题，研究解决对策，及时整改，调整优化支出结构，提高财政资金使用效益。</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40"/>
        <w:jc w:val="both"/>
        <w:textAlignment w:val="auto"/>
        <w:rPr>
          <w:rFonts w:hint="eastAsia" w:ascii="宋体" w:hAnsi="宋体" w:eastAsia="宋体" w:cs="宋体"/>
          <w:sz w:val="32"/>
          <w:szCs w:val="32"/>
        </w:rPr>
        <w:sectPr>
          <w:headerReference r:id="rId8" w:type="default"/>
          <w:footerReference r:id="rId9" w:type="default"/>
          <w:pgSz w:w="16839" w:h="11907" w:orient="landscape"/>
          <w:pgMar w:top="1587" w:right="1984" w:bottom="1474" w:left="1984"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_GB2312" w:hAnsi="仿宋_GB2312" w:eastAsia="仿宋_GB2312" w:cs="仿宋_GB2312"/>
          <w:lang w:val="en-US" w:eastAsia="zh-CN"/>
        </w:rPr>
        <w:t>5、</w:t>
      </w:r>
      <w:r>
        <w:rPr>
          <w:rFonts w:hint="eastAsia" w:ascii="仿宋_GB2312" w:hAnsi="仿宋_GB2312" w:eastAsia="仿宋_GB2312" w:cs="仿宋_GB2312"/>
        </w:rPr>
        <w:t>加强宣传培训。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w:t>
      </w:r>
      <w:r>
        <w:rPr>
          <w:rFonts w:hint="eastAsia" w:ascii="仿宋_GB2312" w:hAnsi="仿宋_GB2312" w:eastAsia="仿宋_GB2312" w:cs="仿宋_GB2312"/>
          <w:lang w:eastAsia="zh-CN"/>
        </w:rPr>
        <w:t>平进一步提升。</w:t>
      </w:r>
    </w:p>
    <w:p>
      <w:pPr>
        <w:jc w:val="left"/>
        <w:outlineLvl w:val="0"/>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单位</w:t>
      </w:r>
      <w:r>
        <w:rPr>
          <w:rFonts w:hint="eastAsia" w:ascii="仿宋" w:hAnsi="仿宋" w:eastAsia="仿宋" w:cs="仿宋"/>
          <w:b/>
          <w:color w:val="000000" w:themeColor="text1"/>
          <w:sz w:val="32"/>
          <w:szCs w:val="32"/>
          <w14:textFill>
            <w14:solidFill>
              <w14:schemeClr w14:val="tx1"/>
            </w14:solidFill>
          </w14:textFill>
        </w:rPr>
        <w:t>职责及工作活动绩效目标指标：</w:t>
      </w:r>
    </w:p>
    <w:p>
      <w:pPr>
        <w:jc w:val="center"/>
        <w:outlineLvl w:val="0"/>
        <w:rPr>
          <w:rFonts w:hint="eastAsia" w:asciiTheme="minorEastAsia" w:hAnsiTheme="minorEastAsia" w:eastAsiaTheme="minorEastAsia" w:cstheme="minorEastAsia"/>
          <w:b w:val="0"/>
          <w:bCs w:val="0"/>
          <w:color w:val="FFFFFF"/>
          <w:sz w:val="32"/>
        </w:rPr>
      </w:pPr>
      <w:r>
        <w:rPr>
          <w:rFonts w:hint="eastAsia" w:asciiTheme="minorEastAsia" w:hAnsiTheme="minorEastAsia" w:eastAsiaTheme="minorEastAsia" w:cstheme="minorEastAsia"/>
          <w:b w:val="0"/>
          <w:bCs w:val="0"/>
          <w:sz w:val="32"/>
        </w:rPr>
        <w:t>部门职责-工作活动绩效目标</w:t>
      </w:r>
      <w:r>
        <w:rPr>
          <w:rStyle w:val="10"/>
          <w:rFonts w:hint="eastAsia" w:asciiTheme="minorEastAsia" w:hAnsiTheme="minorEastAsia" w:eastAsiaTheme="minorEastAsia" w:cstheme="minorEastAsia"/>
          <w:b w:val="0"/>
          <w:bCs w:val="0"/>
          <w:color w:val="FFFFFF"/>
          <w:sz w:val="32"/>
        </w:rPr>
        <w:footnoteReference w:id="0" w:customMarkFollows="1"/>
        <w:sym w:font="Symbol" w:char="F020"/>
      </w:r>
      <w:bookmarkEnd w:id="3"/>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948" w:type="dxa"/>
            <w:gridSpan w:val="4"/>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职责活动</w:t>
            </w:r>
          </w:p>
        </w:tc>
        <w:tc>
          <w:tcPr>
            <w:tcW w:w="12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年度预算数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内容描述</w:t>
            </w:r>
          </w:p>
        </w:tc>
        <w:tc>
          <w:tcPr>
            <w:tcW w:w="2976"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绩效目标</w:t>
            </w:r>
          </w:p>
        </w:tc>
        <w:tc>
          <w:tcPr>
            <w:tcW w:w="1417" w:type="dxa"/>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绩效指标</w:t>
            </w:r>
          </w:p>
        </w:tc>
        <w:tc>
          <w:tcPr>
            <w:tcW w:w="2948" w:type="dxa"/>
            <w:gridSpan w:val="4"/>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2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2976"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1417" w:type="dxa"/>
            <w:vMerge w:val="continue"/>
            <w:shd w:val="clear" w:color="auto" w:fill="auto"/>
            <w:noWrap w:val="0"/>
            <w:vAlign w:val="center"/>
          </w:tcPr>
          <w:p>
            <w:pPr>
              <w:spacing w:line="300" w:lineRule="exact"/>
              <w:jc w:val="left"/>
              <w:outlineLvl w:val="0"/>
              <w:rPr>
                <w:rFonts w:hint="eastAsia" w:asciiTheme="minorEastAsia" w:hAnsiTheme="minorEastAsia" w:eastAsiaTheme="minorEastAsia" w:cstheme="minorEastAsia"/>
                <w:b w:val="0"/>
                <w:bCs w:val="0"/>
              </w:rPr>
            </w:pP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优</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良</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w:t>
            </w:r>
          </w:p>
        </w:tc>
        <w:tc>
          <w:tcPr>
            <w:tcW w:w="737" w:type="dxa"/>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一、促进工业转型升级</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组织制定工业和信息化发展战略、规划。组织全市工业技术改造工作，推进企业技术创新体系建设。组织协调推进企业兼并重组、淘汰落后产能和化解过剩产能、工业节能与资源综合利用工作，组织实施重大专项，推进产业结构战略性调整和优化升级，加快现代产业体系建设。监测分析全市工业运行；负责全市钢铁、石化、建材、装备、纺织、医药、轻工食品、电子信息、软件信息服务业等工业行业管理，指导并组织实施行业准入和全市企业品牌建设等。推进信息化和工业化融合，工业物联网发展。推动全市软件业、信息服务业发展。</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加大我市工业转型升级步伐，实施“中国制造2028”，加快制造强市建设，提升工业发展的质量和效益。提升行业管理水平，促进行业健康发展。实施“互联网+”计划，提升全市信息化建设和发展水平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1、支持工业转型升级</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80.00</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研究提出全市新型工业和信息化发展战略和政策，支持工业技术改造，扶持企业技术创新，促进工业节能减排与尾矿资源综合利用，推进工业行业化解过剩产能、焦化治理、新能源汽车、刷卡排污总量监控系统建设，推动企业兼并重组，指导工业设计与制造融合发展，协调推进工业强市、制造强市建设，促进装备制造业加快发展，做好工业运行监测分析、预警，组织开展工业企业对标行动，加强工业行业质量管理，实施工业行业准入、规范管理和工业标准管理，指导工业行业安全生产、促进军民融合产业发展、应急管理，促进物联网、Wifi覆盖、大数据、云计算产业</w:t>
            </w:r>
          </w:p>
        </w:tc>
        <w:tc>
          <w:tcPr>
            <w:tcW w:w="2976" w:type="dxa"/>
            <w:vMerge w:val="restart"/>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z w:val="18"/>
                <w:szCs w:val="18"/>
              </w:rPr>
              <w:t>推动工业企业节能降耗减排，提升资源综合利用，促进绿色循环低碳发展。</w:t>
            </w: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投资额（亿元）</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关键工序制造装备数控化率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培育创建企业个数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军民结合企业个数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对标指标体系更新和公布个数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技改项目实施数量（项）</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≥100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主营业务收入超亿元企业个数</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规模以上工业万元增加值能耗比下降率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≥8%</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≥6%</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数字化研发设计工具普及率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≥40%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2976" w:type="dxa"/>
            <w:vMerge w:val="continue"/>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p>
        </w:tc>
        <w:tc>
          <w:tcPr>
            <w:tcW w:w="1417" w:type="dxa"/>
            <w:shd w:val="clear" w:color="auto" w:fill="auto"/>
            <w:noWrap w:val="0"/>
            <w:vAlign w:val="center"/>
          </w:tcPr>
          <w:p>
            <w:pPr>
              <w:spacing w:line="220" w:lineRule="exact"/>
              <w:jc w:val="left"/>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尾矿综合利用率</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≥25%</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≥22%</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c>
          <w:tcPr>
            <w:tcW w:w="737" w:type="dxa"/>
            <w:shd w:val="clear" w:color="auto" w:fill="auto"/>
            <w:noWrap w:val="0"/>
            <w:vAlign w:val="center"/>
          </w:tcPr>
          <w:p>
            <w:pPr>
              <w:spacing w:line="220" w:lineRule="exact"/>
              <w:jc w:val="center"/>
              <w:rPr>
                <w:rFonts w:hint="eastAsia" w:asciiTheme="minorEastAsia" w:hAnsiTheme="minorEastAsia" w:eastAsiaTheme="minorEastAsia" w:cstheme="minorEastAsia"/>
                <w:b w:val="0"/>
                <w:bCs w:val="0"/>
                <w:spacing w:val="-20"/>
                <w:sz w:val="18"/>
                <w:szCs w:val="18"/>
              </w:rPr>
            </w:pPr>
            <w:r>
              <w:rPr>
                <w:rFonts w:hint="eastAsia" w:asciiTheme="minorEastAsia" w:hAnsiTheme="minorEastAsia" w:eastAsiaTheme="minorEastAsia" w:cstheme="minorEastAsia"/>
                <w:b w:val="0"/>
                <w:bCs w:val="0"/>
                <w:spacing w:val="-20"/>
                <w:sz w:val="18"/>
                <w:szCs w:val="18"/>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2、工业和信息化对外交流与合作</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开展对外经济交流与合作，支持企业“走出去”，指导和推动工业企业参加展洽活动，积极开拓国内、国外市场，促进贸易成交和技术交流，追踪前沿动态。推进京津冀工业和信息化协同发展。</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促进工业企业开展对外经济交流与合作，提升工业对外开放水平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意向成交额增长率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企业参加展洽数量（家）</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≥150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军民结合企业个数</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二、推进全市信息化建设与应用</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统筹协调推进全市信息化建设与应用；组织拟订相关政策规划；指导协调电子政务发展；推动互联互通和信息资源开发利用、共享。促进三网融合、信息消费；维护网络与信息安全。</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提升全市电子政务信息化建设与应用水平，保障网络与信息安全。</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1、协调全市信息安全保障体系建设</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lang w:val="en-US" w:eastAsia="zh-CN"/>
              </w:rPr>
              <w:t>100</w:t>
            </w:r>
            <w:r>
              <w:rPr>
                <w:rFonts w:hint="eastAsia" w:asciiTheme="minorEastAsia" w:hAnsiTheme="minorEastAsia" w:eastAsiaTheme="minorEastAsia" w:cstheme="minorEastAsia"/>
                <w:b w:val="0"/>
                <w:bCs w:val="0"/>
                <w:sz w:val="18"/>
                <w:szCs w:val="18"/>
              </w:rPr>
              <w:t>.00</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指导和协调网络与信息安全管理工作，推进信息安全等级保护等基础性工作，指导监督政府部门、重点行业重要信息系统与基础信息网络的安全保障，负责应急和重大事件协调处理工作。</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提高电子政务信息化水平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网站监测覆盖率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信息化项目审核率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三、开展医药储备工作</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负责全市医药储备工作</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切实完成医药储备任务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1、协调医药储备</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协调相关医药流通企业落实医药储备任务。</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落实医药储备任务</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医药储备任务完成率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四、促进中小企业和民营经济发展</w:t>
            </w:r>
          </w:p>
        </w:tc>
        <w:tc>
          <w:tcPr>
            <w:tcW w:w="12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加强对中小微企业和民营经济的宏观指导、综合协调，优化发展环境，激活市场主体，破解要素制约，强化公共服务，加强督导、检查和考核，提高民营经济和中小微企业发展质量和水平。</w:t>
            </w:r>
          </w:p>
        </w:tc>
        <w:tc>
          <w:tcPr>
            <w:tcW w:w="2976"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推动中小微企业和民营经济持续、健康发展</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1、促进中小企业和民营经济发展</w:t>
            </w:r>
          </w:p>
        </w:tc>
        <w:tc>
          <w:tcPr>
            <w:tcW w:w="12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动中小和民营企业公共服务平台网络建设，推进为中小企业提供融资担保（包括金融机构风险补偿）、人才引进与培养、诚信评价、法律服务、产业集群、创业辅导、市场开拓等公共服务体系建设，促进县域工业发展。开展中小企业和民营经济运行监测。</w:t>
            </w:r>
          </w:p>
        </w:tc>
        <w:tc>
          <w:tcPr>
            <w:tcW w:w="2976" w:type="dxa"/>
            <w:vMerge w:val="restart"/>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提升公共服务体系建设水平</w:t>
            </w: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监测点上报率</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≥85%</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公共技术服务平台新增数量（个）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4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平台网络服务企业数量（千个）</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≥1.8</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c>
          <w:tcPr>
            <w:tcW w:w="737" w:type="dxa"/>
            <w:shd w:val="clear" w:color="auto" w:fill="auto"/>
            <w:noWrap w:val="0"/>
            <w:vAlign w:val="center"/>
          </w:tcPr>
          <w:p>
            <w:pPr>
              <w:spacing w:line="24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五、工信政务管理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负责系统（内部）综合业务管理和机关（内部）综合事务管理。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提升工业和信息化综合事务管理水平。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5"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1、综合业务管理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制定部门发展战略和规划、指导系统业务活动和事业发展；装备和电子信息行业统计工作；新能源汽车推广应用工作；货车非法改装及双超治理工作；加强行政许可管理；指导行业体制改革；行政复议及行政应诉工作；信访接待、业务宣传、政务信息公开、网上行政服务、依法行政等。着重做好申报、评审和实施国家工业和信息化重大专项项目，工业和信息化专家管理，相关领导小组办公室工作，开展政银企保合作，全市工业和信息化行业特有工种职业技能鉴定工作，以及全市履行禁止化学武器公约和专项资金监管、服务于支撑工业转型升级、工业强市、制造强市等工作的</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依法做好监控化学品日常监管和行政许可审批，完善工业和信息化政策法规体系建设，培育专业化人才，提升工业和信息化水平。</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综合业务管理工作完成率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76"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2、综合事务管理</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工业和信息化管理工作运转保障，包括会议组织、政务督办、档案管理、信访接待、政务信息、行政复议、对外宣传、外事工作、干部培训、课题研究、调研活动等行政事务；开展政府信息公开、行政许可事项受理，信息化建设等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保障机关正常工作高效运转</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综合事务管理工作完成情况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≥95%</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六、制定政策性文件、编制全市年度规划计划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贯彻国家、省墙改法规规章及政策；制定地方性墙改法规、规章和规范性文件。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及时贯彻落实上级政策，切合实际制定地方法规规划。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1、编制发展规划、年度计划</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编制全市墙体材料革新发展规划和年度计划。</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完成年度计划和总体规划</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计划完成优质率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2、落实、实施政策、计划</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深入各县区实施工作检查和目标考核</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年初开会安排全年工作；年中检查一次，年底考核一次。</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新墙材基金收缴比例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新墙材企业生产备案监管率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新墙材产量和比例指标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建设面积完成率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七、建设工程验收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参与建筑工程竣工验收</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督查使用新型墙体材料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1、工程验收</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建筑工程现场查验新墙材使用情况</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达到建设工程应验尽验</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使用新墙材比率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≥70%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八、墙体材料革新工作宣传推广</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负责墙体材料革新工作的宣传、信息交流、专业培训和新技术、新设备的推广。</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让全社会认识、使用新型墙材，从而节能利废。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1、墙体材料革新工作宣传</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各种途径宣传、制作网页及其他方式信息交流</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增强人们对新型墙体材料的认知度，普及推广新型墙体材料</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年制作宣传品份数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80-100份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60-80份     </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xml:space="preserve">＜60份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媒体宣传次数</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2-3</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2、新型墙体材料培训</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参加省办组织培训班；本级组织县区等相关工作人员进行培训</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学习、掌握国家墙材产业新政策、新技术、新设备、新产品。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每年组织、参加培训考核情况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3、举办推广会</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举办墙材革新新技术、新设备、新产品推广会</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推广普及新型墙体材料，尤其承是德尾矿综合利用建材产品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每年组织推介会情况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＞2</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九、依法征收、管理、使用基金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依法征收、管理和使用新墙材专项基金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依法管理使用基金，引导社会节能利废。</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1、征收、返退基金</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收缴、管理、返退基金。</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及时足额收缴基金。</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基金收取情况</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2、依法使用基金</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使用基金用于宣传、补助新技术、补助农村示范房、淘汰粘土砖补偿等。</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保证基金全部用于墙改工作；</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新墙材项目补助</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用于宣传的费用占返还总额的比例</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财政返还基金比率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十、新墙材生产备案</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办理新墙材企业生产备案、新墙材企业管理。</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规范墙体材料生产企业和墙材市场。</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1、新墙材备案</w:t>
            </w:r>
          </w:p>
        </w:tc>
        <w:tc>
          <w:tcPr>
            <w:tcW w:w="12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审核申请资料、带领专家到企业实地考核。到省办办理备案证书。</w:t>
            </w:r>
          </w:p>
        </w:tc>
        <w:tc>
          <w:tcPr>
            <w:tcW w:w="2976" w:type="dxa"/>
            <w:vMerge w:val="restart"/>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成功办理新墙材企业生产备案证</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省办备案批准率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实地考核合格率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2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vMerge w:val="continue"/>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申请材料合格率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　　2、统计报表</w:t>
            </w:r>
          </w:p>
        </w:tc>
        <w:tc>
          <w:tcPr>
            <w:tcW w:w="12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调研、统计报表</w:t>
            </w:r>
          </w:p>
        </w:tc>
        <w:tc>
          <w:tcPr>
            <w:tcW w:w="2976"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全面准确掌握全市墙材行业状况</w:t>
            </w:r>
          </w:p>
        </w:tc>
        <w:tc>
          <w:tcPr>
            <w:tcW w:w="1417" w:type="dxa"/>
            <w:shd w:val="clear" w:color="auto" w:fill="auto"/>
            <w:noWrap w:val="0"/>
            <w:vAlign w:val="center"/>
          </w:tcPr>
          <w:p>
            <w:pPr>
              <w:spacing w:line="200" w:lineRule="exact"/>
              <w:jc w:val="left"/>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统计报表优质率</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100%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≥80%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c>
          <w:tcPr>
            <w:tcW w:w="737" w:type="dxa"/>
            <w:shd w:val="clear" w:color="auto" w:fill="auto"/>
            <w:noWrap w:val="0"/>
            <w:vAlign w:val="center"/>
          </w:tcPr>
          <w:p>
            <w:pPr>
              <w:spacing w:line="200" w:lineRule="exact"/>
              <w:jc w:val="center"/>
              <w:rPr>
                <w:rFonts w:hint="eastAsia" w:asciiTheme="minorEastAsia" w:hAnsiTheme="minorEastAsia" w:eastAsiaTheme="minorEastAsia" w:cstheme="minorEastAsia"/>
                <w:b w:val="0"/>
                <w:bCs w:val="0"/>
                <w:sz w:val="18"/>
                <w:szCs w:val="18"/>
              </w:rPr>
            </w:pPr>
            <w:r>
              <w:rPr>
                <w:rFonts w:hint="eastAsia" w:asciiTheme="minorEastAsia" w:hAnsiTheme="minorEastAsia" w:eastAsiaTheme="minorEastAsia" w:cstheme="minorEastAsia"/>
                <w:b w:val="0"/>
                <w:bCs w:val="0"/>
                <w:sz w:val="18"/>
                <w:szCs w:val="18"/>
              </w:rPr>
              <w:t>＜60%</w:t>
            </w:r>
          </w:p>
        </w:tc>
      </w:tr>
    </w:tbl>
    <w:p>
      <w:pPr>
        <w:spacing w:line="300" w:lineRule="exact"/>
        <w:jc w:val="left"/>
        <w:outlineLvl w:val="0"/>
        <w:sectPr>
          <w:footerReference r:id="rId10" w:type="default"/>
          <w:pgSz w:w="16839" w:h="11907" w:orient="landscape"/>
          <w:pgMar w:top="1020" w:right="1361" w:bottom="1020" w:left="1361" w:header="851" w:footer="992" w:gutter="0"/>
          <w:pgBorders>
            <w:top w:val="none" w:sz="0" w:space="0"/>
            <w:left w:val="none" w:sz="0" w:space="0"/>
            <w:bottom w:val="none" w:sz="0" w:space="0"/>
            <w:right w:val="none" w:sz="0" w:space="0"/>
          </w:pgBorders>
          <w:cols w:space="425" w:num="1"/>
          <w:docGrid w:type="lines" w:linePitch="312" w:charSpace="0"/>
        </w:sectPr>
      </w:pPr>
    </w:p>
    <w:p>
      <w:pPr>
        <w:ind w:firstLine="640" w:firstLineChars="200"/>
        <w:rPr>
          <w:rFonts w:hint="eastAsia" w:ascii="黑体" w:hAnsi="黑体" w:eastAsia="黑体" w:cs="黑体"/>
          <w:b w:val="0"/>
          <w:bCs/>
          <w:sz w:val="28"/>
        </w:rPr>
      </w:pPr>
      <w:r>
        <w:rPr>
          <w:rFonts w:hint="eastAsia" w:ascii="黑体" w:hAnsi="黑体" w:eastAsia="黑体" w:cs="黑体"/>
          <w:b w:val="0"/>
          <w:bCs/>
          <w:sz w:val="32"/>
          <w:szCs w:val="32"/>
        </w:rPr>
        <w:t>第二部分  专项资金绩效目标</w:t>
      </w:r>
    </w:p>
    <w:p>
      <w:pPr>
        <w:pStyle w:val="46"/>
        <w:numPr>
          <w:ilvl w:val="0"/>
          <w:numId w:val="1"/>
        </w:numPr>
        <w:tabs>
          <w:tab w:val="left" w:pos="756"/>
        </w:tabs>
        <w:spacing w:before="15" w:after="18" w:line="240" w:lineRule="auto"/>
        <w:ind w:left="756" w:right="0" w:hanging="425"/>
        <w:jc w:val="left"/>
        <w:rPr>
          <w:rFonts w:hint="eastAsia" w:ascii="宋体" w:hAnsi="宋体" w:eastAsia="宋体" w:cs="宋体"/>
          <w:sz w:val="32"/>
        </w:rPr>
      </w:pPr>
      <w:r>
        <w:rPr>
          <w:rFonts w:hint="eastAsia" w:ascii="宋体" w:hAnsi="宋体" w:eastAsia="宋体" w:cs="宋体"/>
          <w:sz w:val="32"/>
        </w:rPr>
        <w:t>工业和信息化工作经费项目绩效目标表</w:t>
      </w:r>
    </w:p>
    <w:tbl>
      <w:tblPr>
        <w:tblStyle w:val="6"/>
        <w:tblW w:w="502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41"/>
        <w:gridCol w:w="2259"/>
        <w:gridCol w:w="2481"/>
        <w:gridCol w:w="1444"/>
        <w:gridCol w:w="1444"/>
        <w:gridCol w:w="930"/>
        <w:gridCol w:w="2172"/>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513" w:type="pct"/>
          </w:tcPr>
          <w:p>
            <w:pPr>
              <w:pStyle w:val="47"/>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项目编码</w:t>
            </w:r>
          </w:p>
        </w:tc>
        <w:tc>
          <w:tcPr>
            <w:tcW w:w="1687" w:type="pct"/>
            <w:gridSpan w:val="2"/>
          </w:tcPr>
          <w:p>
            <w:pPr>
              <w:pStyle w:val="47"/>
              <w:spacing w:line="240" w:lineRule="auto"/>
              <w:ind w:left="710"/>
              <w:rPr>
                <w:rFonts w:hint="eastAsia" w:ascii="宋体" w:hAnsi="宋体" w:eastAsia="宋体" w:cs="宋体"/>
                <w:b w:val="0"/>
                <w:bCs/>
                <w:sz w:val="21"/>
                <w:szCs w:val="21"/>
              </w:rPr>
            </w:pPr>
            <w:r>
              <w:rPr>
                <w:rFonts w:hint="eastAsia" w:ascii="宋体" w:hAnsi="宋体" w:eastAsia="宋体" w:cs="宋体"/>
                <w:b w:val="0"/>
                <w:bCs/>
                <w:sz w:val="21"/>
                <w:szCs w:val="21"/>
              </w:rPr>
              <w:t>593-0101-JBN-KHS9</w:t>
            </w:r>
          </w:p>
        </w:tc>
        <w:tc>
          <w:tcPr>
            <w:tcW w:w="514" w:type="pct"/>
          </w:tcPr>
          <w:p>
            <w:pPr>
              <w:pStyle w:val="47"/>
              <w:spacing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项目名称</w:t>
            </w:r>
          </w:p>
        </w:tc>
        <w:tc>
          <w:tcPr>
            <w:tcW w:w="2284" w:type="pct"/>
            <w:gridSpan w:val="4"/>
          </w:tcPr>
          <w:p>
            <w:pPr>
              <w:pStyle w:val="47"/>
              <w:spacing w:line="240" w:lineRule="auto"/>
              <w:jc w:val="center"/>
              <w:rPr>
                <w:rFonts w:hint="eastAsia" w:ascii="宋体" w:hAnsi="宋体" w:eastAsia="宋体" w:cs="宋体"/>
                <w:b w:val="0"/>
                <w:bCs/>
                <w:sz w:val="21"/>
                <w:szCs w:val="21"/>
              </w:rPr>
            </w:pPr>
            <w:r>
              <w:rPr>
                <w:rFonts w:hint="eastAsia" w:ascii="宋体" w:hAnsi="宋体" w:eastAsia="宋体" w:cs="宋体"/>
                <w:b w:val="0"/>
                <w:bCs/>
                <w:sz w:val="21"/>
                <w:szCs w:val="21"/>
              </w:rPr>
              <w:t>工业和信息化工作经费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513" w:type="pct"/>
            <w:vAlign w:val="center"/>
          </w:tcPr>
          <w:p>
            <w:pPr>
              <w:pStyle w:val="47"/>
              <w:spacing w:before="39" w:line="240" w:lineRule="auto"/>
              <w:ind w:left="79" w:right="67"/>
              <w:jc w:val="center"/>
              <w:rPr>
                <w:rFonts w:hint="eastAsia" w:ascii="宋体" w:hAnsi="宋体" w:eastAsia="宋体" w:cs="宋体"/>
                <w:b w:val="0"/>
                <w:bCs/>
                <w:sz w:val="21"/>
                <w:szCs w:val="21"/>
              </w:rPr>
            </w:pPr>
            <w:r>
              <w:rPr>
                <w:rFonts w:hint="eastAsia" w:ascii="宋体" w:hAnsi="宋体" w:eastAsia="宋体" w:cs="宋体"/>
                <w:b w:val="0"/>
                <w:bCs/>
                <w:sz w:val="21"/>
                <w:szCs w:val="21"/>
              </w:rPr>
              <w:t>预算规模及资金用</w:t>
            </w:r>
            <w:r>
              <w:rPr>
                <w:rFonts w:hint="eastAsia" w:ascii="宋体" w:hAnsi="宋体" w:eastAsia="宋体" w:cs="宋体"/>
                <w:b w:val="0"/>
                <w:bCs/>
                <w:w w:val="99"/>
                <w:sz w:val="21"/>
                <w:szCs w:val="21"/>
              </w:rPr>
              <w:t>途</w:t>
            </w:r>
          </w:p>
        </w:tc>
        <w:tc>
          <w:tcPr>
            <w:tcW w:w="804" w:type="pct"/>
            <w:vAlign w:val="center"/>
          </w:tcPr>
          <w:p>
            <w:pPr>
              <w:pStyle w:val="47"/>
              <w:spacing w:before="1" w:line="240" w:lineRule="auto"/>
              <w:ind w:left="151"/>
              <w:jc w:val="center"/>
              <w:rPr>
                <w:rFonts w:hint="eastAsia" w:ascii="宋体" w:hAnsi="宋体" w:eastAsia="宋体" w:cs="宋体"/>
                <w:b w:val="0"/>
                <w:bCs/>
                <w:sz w:val="21"/>
                <w:szCs w:val="21"/>
              </w:rPr>
            </w:pPr>
            <w:r>
              <w:rPr>
                <w:rFonts w:hint="eastAsia" w:ascii="宋体" w:hAnsi="宋体" w:eastAsia="宋体" w:cs="宋体"/>
                <w:b w:val="0"/>
                <w:bCs/>
                <w:sz w:val="21"/>
                <w:szCs w:val="21"/>
              </w:rPr>
              <w:t>预算数</w:t>
            </w:r>
          </w:p>
        </w:tc>
        <w:tc>
          <w:tcPr>
            <w:tcW w:w="883" w:type="pct"/>
            <w:vAlign w:val="center"/>
          </w:tcPr>
          <w:p>
            <w:pPr>
              <w:pStyle w:val="47"/>
              <w:spacing w:before="1" w:line="240" w:lineRule="auto"/>
              <w:ind w:right="825"/>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514" w:type="pct"/>
            <w:vAlign w:val="center"/>
          </w:tcPr>
          <w:p>
            <w:pPr>
              <w:pStyle w:val="47"/>
              <w:spacing w:before="1" w:line="240" w:lineRule="auto"/>
              <w:ind w:left="278" w:right="-15" w:hanging="267"/>
              <w:jc w:val="center"/>
              <w:rPr>
                <w:rFonts w:hint="eastAsia" w:ascii="宋体" w:hAnsi="宋体" w:eastAsia="宋体" w:cs="宋体"/>
                <w:b w:val="0"/>
                <w:bCs/>
                <w:sz w:val="21"/>
                <w:szCs w:val="21"/>
              </w:rPr>
            </w:pPr>
            <w:r>
              <w:rPr>
                <w:rFonts w:hint="eastAsia" w:ascii="宋体" w:hAnsi="宋体" w:eastAsia="宋体" w:cs="宋体"/>
                <w:b w:val="0"/>
                <w:bCs/>
                <w:spacing w:val="-13"/>
                <w:sz w:val="21"/>
                <w:szCs w:val="21"/>
              </w:rPr>
              <w:t>其中：财政资金</w:t>
            </w:r>
          </w:p>
        </w:tc>
        <w:tc>
          <w:tcPr>
            <w:tcW w:w="514" w:type="pct"/>
            <w:vAlign w:val="center"/>
          </w:tcPr>
          <w:p>
            <w:pPr>
              <w:pStyle w:val="47"/>
              <w:spacing w:before="1" w:line="240" w:lineRule="auto"/>
              <w:ind w:left="230"/>
              <w:jc w:val="center"/>
              <w:rPr>
                <w:rFonts w:hint="eastAsia" w:ascii="宋体" w:hAnsi="宋体" w:eastAsia="宋体" w:cs="宋体"/>
                <w:b w:val="0"/>
                <w:bCs/>
                <w:sz w:val="21"/>
                <w:szCs w:val="21"/>
              </w:rPr>
            </w:pPr>
            <w:r>
              <w:rPr>
                <w:rFonts w:hint="eastAsia" w:ascii="宋体" w:hAnsi="宋体" w:eastAsia="宋体" w:cs="宋体"/>
                <w:b w:val="0"/>
                <w:bCs/>
                <w:sz w:val="21"/>
                <w:szCs w:val="21"/>
              </w:rPr>
              <w:t>80.00</w:t>
            </w:r>
          </w:p>
        </w:tc>
        <w:tc>
          <w:tcPr>
            <w:tcW w:w="330" w:type="pct"/>
            <w:vAlign w:val="center"/>
          </w:tcPr>
          <w:p>
            <w:pPr>
              <w:pStyle w:val="47"/>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其他资金</w:t>
            </w:r>
          </w:p>
        </w:tc>
        <w:tc>
          <w:tcPr>
            <w:tcW w:w="1439" w:type="pct"/>
            <w:gridSpan w:val="2"/>
            <w:vAlign w:val="center"/>
          </w:tcPr>
          <w:p>
            <w:pPr>
              <w:pStyle w:val="47"/>
              <w:spacing w:line="240" w:lineRule="auto"/>
              <w:jc w:val="center"/>
              <w:rPr>
                <w:rFonts w:hint="eastAsia" w:ascii="宋体" w:hAnsi="宋体" w:eastAsia="宋体" w:cs="宋体"/>
                <w:b w:val="0"/>
                <w:bCs/>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trPr>
        <w:tc>
          <w:tcPr>
            <w:tcW w:w="513" w:type="pct"/>
            <w:vMerge w:val="restart"/>
            <w:vAlign w:val="center"/>
          </w:tcPr>
          <w:p>
            <w:pPr>
              <w:pStyle w:val="47"/>
              <w:spacing w:before="144" w:line="240" w:lineRule="auto"/>
              <w:ind w:left="29" w:right="16" w:firstLine="50"/>
              <w:jc w:val="center"/>
              <w:rPr>
                <w:rFonts w:hint="eastAsia" w:ascii="宋体" w:hAnsi="宋体" w:eastAsia="宋体" w:cs="宋体"/>
                <w:b w:val="0"/>
                <w:bCs/>
                <w:sz w:val="21"/>
                <w:szCs w:val="21"/>
              </w:rPr>
            </w:pPr>
            <w:r>
              <w:rPr>
                <w:rFonts w:hint="eastAsia" w:ascii="宋体" w:hAnsi="宋体" w:eastAsia="宋体" w:cs="宋体"/>
                <w:b w:val="0"/>
                <w:bCs/>
                <w:sz w:val="21"/>
                <w:szCs w:val="21"/>
              </w:rPr>
              <w:t>资金支出计划（%）</w:t>
            </w:r>
          </w:p>
        </w:tc>
        <w:tc>
          <w:tcPr>
            <w:tcW w:w="1687" w:type="pct"/>
            <w:gridSpan w:val="2"/>
          </w:tcPr>
          <w:p>
            <w:pPr>
              <w:pStyle w:val="47"/>
              <w:spacing w:before="132" w:line="240" w:lineRule="auto"/>
              <w:ind w:left="1238"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3 月底</w:t>
            </w:r>
          </w:p>
        </w:tc>
        <w:tc>
          <w:tcPr>
            <w:tcW w:w="514" w:type="pct"/>
          </w:tcPr>
          <w:p>
            <w:pPr>
              <w:pStyle w:val="47"/>
              <w:spacing w:before="132"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6 月底</w:t>
            </w:r>
          </w:p>
        </w:tc>
        <w:tc>
          <w:tcPr>
            <w:tcW w:w="845" w:type="pct"/>
            <w:gridSpan w:val="2"/>
          </w:tcPr>
          <w:p>
            <w:pPr>
              <w:pStyle w:val="47"/>
              <w:spacing w:before="132" w:line="240" w:lineRule="auto"/>
              <w:ind w:left="633"/>
              <w:rPr>
                <w:rFonts w:hint="eastAsia" w:ascii="宋体" w:hAnsi="宋体" w:eastAsia="宋体" w:cs="宋体"/>
                <w:b w:val="0"/>
                <w:bCs/>
                <w:sz w:val="21"/>
                <w:szCs w:val="21"/>
              </w:rPr>
            </w:pPr>
            <w:r>
              <w:rPr>
                <w:rFonts w:hint="eastAsia" w:ascii="宋体" w:hAnsi="宋体" w:eastAsia="宋体" w:cs="宋体"/>
                <w:b w:val="0"/>
                <w:bCs/>
                <w:sz w:val="21"/>
                <w:szCs w:val="21"/>
              </w:rPr>
              <w:t>10 月底</w:t>
            </w:r>
          </w:p>
        </w:tc>
        <w:tc>
          <w:tcPr>
            <w:tcW w:w="1439" w:type="pct"/>
            <w:gridSpan w:val="2"/>
          </w:tcPr>
          <w:p>
            <w:pPr>
              <w:pStyle w:val="47"/>
              <w:spacing w:before="132" w:line="240" w:lineRule="auto"/>
              <w:ind w:left="762"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12 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2"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1687" w:type="pct"/>
            <w:gridSpan w:val="2"/>
          </w:tcPr>
          <w:p>
            <w:pPr>
              <w:pStyle w:val="47"/>
              <w:spacing w:before="39" w:line="240" w:lineRule="auto"/>
              <w:ind w:left="1237" w:right="1228"/>
              <w:jc w:val="center"/>
              <w:rPr>
                <w:rFonts w:hint="eastAsia" w:ascii="宋体" w:hAnsi="宋体" w:eastAsia="宋体" w:cs="宋体"/>
                <w:b w:val="0"/>
                <w:bCs/>
                <w:sz w:val="21"/>
                <w:szCs w:val="21"/>
              </w:rPr>
            </w:pPr>
            <w:r>
              <w:rPr>
                <w:rFonts w:hint="eastAsia" w:ascii="宋体" w:hAnsi="宋体" w:eastAsia="宋体" w:cs="宋体"/>
                <w:b w:val="0"/>
                <w:bCs/>
                <w:sz w:val="21"/>
                <w:szCs w:val="21"/>
              </w:rPr>
              <w:t>10</w:t>
            </w:r>
          </w:p>
        </w:tc>
        <w:tc>
          <w:tcPr>
            <w:tcW w:w="514" w:type="pct"/>
          </w:tcPr>
          <w:p>
            <w:pPr>
              <w:pStyle w:val="47"/>
              <w:spacing w:before="39" w:line="240" w:lineRule="auto"/>
              <w:ind w:left="56" w:right="47"/>
              <w:jc w:val="center"/>
              <w:rPr>
                <w:rFonts w:hint="eastAsia" w:ascii="宋体" w:hAnsi="宋体" w:eastAsia="宋体" w:cs="宋体"/>
                <w:b w:val="0"/>
                <w:bCs/>
                <w:sz w:val="21"/>
                <w:szCs w:val="21"/>
              </w:rPr>
            </w:pPr>
            <w:r>
              <w:rPr>
                <w:rFonts w:hint="eastAsia" w:ascii="宋体" w:hAnsi="宋体" w:eastAsia="宋体" w:cs="宋体"/>
                <w:b w:val="0"/>
                <w:bCs/>
                <w:sz w:val="21"/>
                <w:szCs w:val="21"/>
              </w:rPr>
              <w:t>40</w:t>
            </w:r>
          </w:p>
        </w:tc>
        <w:tc>
          <w:tcPr>
            <w:tcW w:w="845" w:type="pct"/>
            <w:gridSpan w:val="2"/>
          </w:tcPr>
          <w:p>
            <w:pPr>
              <w:pStyle w:val="47"/>
              <w:spacing w:before="39" w:line="240" w:lineRule="auto"/>
              <w:ind w:left="789" w:right="780"/>
              <w:jc w:val="center"/>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1439" w:type="pct"/>
            <w:gridSpan w:val="2"/>
          </w:tcPr>
          <w:p>
            <w:pPr>
              <w:pStyle w:val="47"/>
              <w:spacing w:before="39" w:line="240" w:lineRule="auto"/>
              <w:ind w:left="761" w:right="752"/>
              <w:jc w:val="center"/>
              <w:rPr>
                <w:rFonts w:hint="eastAsia" w:ascii="宋体" w:hAnsi="宋体" w:eastAsia="宋体" w:cs="宋体"/>
                <w:b w:val="0"/>
                <w:bCs/>
                <w:sz w:val="21"/>
                <w:szCs w:val="21"/>
              </w:rPr>
            </w:pPr>
            <w:r>
              <w:rPr>
                <w:rFonts w:hint="eastAsia" w:ascii="宋体" w:hAnsi="宋体" w:eastAsia="宋体" w:cs="宋体"/>
                <w:b w:val="0"/>
                <w:bCs/>
                <w:sz w:val="21"/>
                <w:szCs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513" w:type="pct"/>
            <w:vMerge w:val="restart"/>
            <w:vAlign w:val="center"/>
          </w:tcPr>
          <w:p>
            <w:pPr>
              <w:pStyle w:val="47"/>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绩效目标</w:t>
            </w:r>
          </w:p>
        </w:tc>
        <w:tc>
          <w:tcPr>
            <w:tcW w:w="804" w:type="pct"/>
          </w:tcPr>
          <w:p>
            <w:pPr>
              <w:pStyle w:val="47"/>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1</w:t>
            </w:r>
          </w:p>
        </w:tc>
        <w:tc>
          <w:tcPr>
            <w:tcW w:w="3682" w:type="pct"/>
            <w:gridSpan w:val="6"/>
          </w:tcPr>
          <w:p>
            <w:pPr>
              <w:pStyle w:val="47"/>
              <w:spacing w:before="38" w:line="240" w:lineRule="auto"/>
              <w:ind w:left="10"/>
              <w:jc w:val="left"/>
              <w:rPr>
                <w:rFonts w:hint="eastAsia" w:ascii="宋体" w:hAnsi="宋体" w:eastAsia="宋体" w:cs="宋体"/>
                <w:b w:val="0"/>
                <w:bCs/>
                <w:sz w:val="21"/>
                <w:szCs w:val="21"/>
              </w:rPr>
            </w:pPr>
            <w:r>
              <w:rPr>
                <w:rFonts w:hint="eastAsia" w:ascii="宋体" w:hAnsi="宋体" w:eastAsia="宋体" w:cs="宋体"/>
                <w:b w:val="0"/>
                <w:bCs/>
                <w:w w:val="95"/>
                <w:sz w:val="21"/>
                <w:szCs w:val="21"/>
              </w:rPr>
              <w:t>拟定并组织实施全市工业的发展规划，推进产业结构战略性调整和优化升级，推进信</w:t>
            </w:r>
            <w:r>
              <w:rPr>
                <w:rFonts w:hint="eastAsia" w:ascii="宋体" w:hAnsi="宋体" w:eastAsia="宋体" w:cs="宋体"/>
                <w:b w:val="0"/>
                <w:bCs/>
                <w:sz w:val="21"/>
                <w:szCs w:val="21"/>
              </w:rPr>
              <w:t>息化和工业化融合。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tcPr>
          <w:p>
            <w:pPr>
              <w:pStyle w:val="47"/>
              <w:spacing w:before="152"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目标 2</w:t>
            </w:r>
          </w:p>
        </w:tc>
        <w:tc>
          <w:tcPr>
            <w:tcW w:w="3682" w:type="pct"/>
            <w:gridSpan w:val="6"/>
          </w:tcPr>
          <w:p>
            <w:pPr>
              <w:pStyle w:val="47"/>
              <w:spacing w:before="152" w:line="240" w:lineRule="auto"/>
              <w:ind w:left="10"/>
              <w:jc w:val="left"/>
              <w:rPr>
                <w:rFonts w:hint="eastAsia" w:ascii="宋体" w:hAnsi="宋体" w:eastAsia="宋体" w:cs="宋体"/>
                <w:b w:val="0"/>
                <w:bCs/>
                <w:sz w:val="21"/>
                <w:szCs w:val="21"/>
              </w:rPr>
            </w:pPr>
            <w:r>
              <w:rPr>
                <w:rFonts w:hint="eastAsia" w:ascii="宋体" w:hAnsi="宋体" w:eastAsia="宋体" w:cs="宋体"/>
                <w:b w:val="0"/>
                <w:bCs/>
                <w:sz w:val="21"/>
                <w:szCs w:val="21"/>
              </w:rPr>
              <w:t>建立健全民营经济统计和监控分析系统，促进中小企业、民营经济健康发展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9" w:hRule="atLeast"/>
        </w:trPr>
        <w:tc>
          <w:tcPr>
            <w:tcW w:w="513" w:type="pct"/>
            <w:vAlign w:val="center"/>
          </w:tcPr>
          <w:p>
            <w:pPr>
              <w:pStyle w:val="47"/>
              <w:spacing w:before="1" w:line="240" w:lineRule="auto"/>
              <w:ind w:left="57" w:right="47"/>
              <w:jc w:val="center"/>
              <w:rPr>
                <w:rFonts w:hint="eastAsia" w:ascii="宋体" w:hAnsi="宋体" w:eastAsia="宋体" w:cs="宋体"/>
                <w:b w:val="0"/>
                <w:bCs/>
                <w:sz w:val="21"/>
                <w:szCs w:val="21"/>
              </w:rPr>
            </w:pPr>
            <w:r>
              <w:rPr>
                <w:rFonts w:hint="eastAsia" w:ascii="宋体" w:hAnsi="宋体" w:eastAsia="宋体" w:cs="宋体"/>
                <w:b w:val="0"/>
                <w:bCs/>
                <w:sz w:val="21"/>
                <w:szCs w:val="21"/>
              </w:rPr>
              <w:t>一级指标</w:t>
            </w:r>
          </w:p>
        </w:tc>
        <w:tc>
          <w:tcPr>
            <w:tcW w:w="804" w:type="pct"/>
          </w:tcPr>
          <w:p>
            <w:pPr>
              <w:pStyle w:val="47"/>
              <w:spacing w:before="1"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二级指标</w:t>
            </w:r>
          </w:p>
        </w:tc>
        <w:tc>
          <w:tcPr>
            <w:tcW w:w="883" w:type="pct"/>
          </w:tcPr>
          <w:p>
            <w:pPr>
              <w:pStyle w:val="47"/>
              <w:spacing w:before="1" w:line="240" w:lineRule="auto"/>
              <w:ind w:left="706"/>
              <w:jc w:val="center"/>
              <w:rPr>
                <w:rFonts w:hint="eastAsia" w:ascii="宋体" w:hAnsi="宋体" w:eastAsia="宋体" w:cs="宋体"/>
                <w:b w:val="0"/>
                <w:bCs/>
                <w:sz w:val="21"/>
                <w:szCs w:val="21"/>
              </w:rPr>
            </w:pPr>
            <w:r>
              <w:rPr>
                <w:rFonts w:hint="eastAsia" w:ascii="宋体" w:hAnsi="宋体" w:eastAsia="宋体" w:cs="宋体"/>
                <w:b w:val="0"/>
                <w:bCs/>
                <w:sz w:val="21"/>
                <w:szCs w:val="21"/>
              </w:rPr>
              <w:t>三级指标</w:t>
            </w:r>
          </w:p>
        </w:tc>
        <w:tc>
          <w:tcPr>
            <w:tcW w:w="1359" w:type="pct"/>
            <w:gridSpan w:val="3"/>
          </w:tcPr>
          <w:p>
            <w:pPr>
              <w:pStyle w:val="47"/>
              <w:spacing w:before="1" w:line="240" w:lineRule="auto"/>
              <w:ind w:left="840"/>
              <w:rPr>
                <w:rFonts w:hint="eastAsia" w:ascii="宋体" w:hAnsi="宋体" w:eastAsia="宋体" w:cs="宋体"/>
                <w:b w:val="0"/>
                <w:bCs/>
                <w:sz w:val="21"/>
                <w:szCs w:val="21"/>
              </w:rPr>
            </w:pPr>
            <w:r>
              <w:rPr>
                <w:rFonts w:hint="eastAsia" w:ascii="宋体" w:hAnsi="宋体" w:eastAsia="宋体" w:cs="宋体"/>
                <w:b w:val="0"/>
                <w:bCs/>
                <w:sz w:val="21"/>
                <w:szCs w:val="21"/>
              </w:rPr>
              <w:t>绩效指标描述</w:t>
            </w:r>
          </w:p>
        </w:tc>
        <w:tc>
          <w:tcPr>
            <w:tcW w:w="773" w:type="pct"/>
          </w:tcPr>
          <w:p>
            <w:pPr>
              <w:pStyle w:val="47"/>
              <w:spacing w:before="1" w:line="240" w:lineRule="auto"/>
              <w:ind w:left="355"/>
              <w:rPr>
                <w:rFonts w:hint="eastAsia" w:ascii="宋体" w:hAnsi="宋体" w:eastAsia="宋体" w:cs="宋体"/>
                <w:b w:val="0"/>
                <w:bCs/>
                <w:sz w:val="21"/>
                <w:szCs w:val="21"/>
              </w:rPr>
            </w:pPr>
            <w:r>
              <w:rPr>
                <w:rFonts w:hint="eastAsia" w:ascii="宋体" w:hAnsi="宋体" w:eastAsia="宋体" w:cs="宋体"/>
                <w:b w:val="0"/>
                <w:bCs/>
                <w:sz w:val="21"/>
                <w:szCs w:val="21"/>
              </w:rPr>
              <w:t>指标值</w:t>
            </w:r>
          </w:p>
        </w:tc>
        <w:tc>
          <w:tcPr>
            <w:tcW w:w="665" w:type="pct"/>
          </w:tcPr>
          <w:p>
            <w:pPr>
              <w:pStyle w:val="47"/>
              <w:spacing w:before="39" w:line="240" w:lineRule="auto"/>
              <w:ind w:left="57" w:right="46"/>
              <w:jc w:val="center"/>
              <w:rPr>
                <w:rFonts w:hint="eastAsia" w:ascii="宋体" w:hAnsi="宋体" w:eastAsia="宋体" w:cs="宋体"/>
                <w:b w:val="0"/>
                <w:bCs/>
                <w:sz w:val="21"/>
                <w:szCs w:val="21"/>
              </w:rPr>
            </w:pPr>
            <w:r>
              <w:rPr>
                <w:rFonts w:hint="eastAsia" w:ascii="宋体" w:hAnsi="宋体" w:eastAsia="宋体" w:cs="宋体"/>
                <w:b w:val="0"/>
                <w:bCs/>
                <w:sz w:val="21"/>
                <w:szCs w:val="21"/>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13" w:type="pct"/>
            <w:vMerge w:val="restart"/>
            <w:vAlign w:val="center"/>
          </w:tcPr>
          <w:p>
            <w:pPr>
              <w:pStyle w:val="47"/>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产出指标</w:t>
            </w:r>
          </w:p>
        </w:tc>
        <w:tc>
          <w:tcPr>
            <w:tcW w:w="804" w:type="pct"/>
            <w:vAlign w:val="center"/>
          </w:tcPr>
          <w:p>
            <w:pPr>
              <w:pStyle w:val="47"/>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数量指标</w:t>
            </w:r>
          </w:p>
        </w:tc>
        <w:tc>
          <w:tcPr>
            <w:tcW w:w="883" w:type="pct"/>
            <w:vAlign w:val="center"/>
          </w:tcPr>
          <w:p>
            <w:pPr>
              <w:pStyle w:val="47"/>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1359" w:type="pct"/>
            <w:gridSpan w:val="3"/>
            <w:vAlign w:val="center"/>
          </w:tcPr>
          <w:p>
            <w:pPr>
              <w:pStyle w:val="47"/>
              <w:spacing w:before="60"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新增规上工业企业数量</w:t>
            </w:r>
          </w:p>
        </w:tc>
        <w:tc>
          <w:tcPr>
            <w:tcW w:w="773" w:type="pct"/>
            <w:vAlign w:val="center"/>
          </w:tcPr>
          <w:p>
            <w:pPr>
              <w:pStyle w:val="47"/>
              <w:spacing w:before="48"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≥30 个</w:t>
            </w:r>
          </w:p>
        </w:tc>
        <w:tc>
          <w:tcPr>
            <w:tcW w:w="665" w:type="pct"/>
            <w:vAlign w:val="center"/>
          </w:tcPr>
          <w:p>
            <w:pPr>
              <w:pStyle w:val="47"/>
              <w:spacing w:before="60"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47"/>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质量指标</w:t>
            </w:r>
          </w:p>
        </w:tc>
        <w:tc>
          <w:tcPr>
            <w:tcW w:w="883" w:type="pct"/>
            <w:vAlign w:val="center"/>
          </w:tcPr>
          <w:p>
            <w:pPr>
              <w:pStyle w:val="47"/>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1359" w:type="pct"/>
            <w:gridSpan w:val="3"/>
            <w:vAlign w:val="center"/>
          </w:tcPr>
          <w:p>
            <w:pPr>
              <w:pStyle w:val="47"/>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检查督导完成率</w:t>
            </w:r>
          </w:p>
        </w:tc>
        <w:tc>
          <w:tcPr>
            <w:tcW w:w="773" w:type="pct"/>
            <w:vAlign w:val="center"/>
          </w:tcPr>
          <w:p>
            <w:pPr>
              <w:pStyle w:val="47"/>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≥80%</w:t>
            </w:r>
          </w:p>
        </w:tc>
        <w:tc>
          <w:tcPr>
            <w:tcW w:w="665" w:type="pct"/>
            <w:vAlign w:val="center"/>
          </w:tcPr>
          <w:p>
            <w:pPr>
              <w:pStyle w:val="47"/>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47"/>
              <w:spacing w:before="48"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时效指标</w:t>
            </w:r>
          </w:p>
        </w:tc>
        <w:tc>
          <w:tcPr>
            <w:tcW w:w="883" w:type="pct"/>
            <w:vAlign w:val="center"/>
          </w:tcPr>
          <w:p>
            <w:pPr>
              <w:pStyle w:val="47"/>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1359" w:type="pct"/>
            <w:gridSpan w:val="3"/>
            <w:vAlign w:val="center"/>
          </w:tcPr>
          <w:p>
            <w:pPr>
              <w:pStyle w:val="47"/>
              <w:spacing w:before="48"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各项工作完成及时率</w:t>
            </w:r>
          </w:p>
        </w:tc>
        <w:tc>
          <w:tcPr>
            <w:tcW w:w="773" w:type="pct"/>
            <w:vAlign w:val="center"/>
          </w:tcPr>
          <w:p>
            <w:pPr>
              <w:pStyle w:val="47"/>
              <w:spacing w:before="48"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47"/>
              <w:spacing w:before="61"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trPr>
        <w:tc>
          <w:tcPr>
            <w:tcW w:w="513" w:type="pct"/>
            <w:vMerge w:val="continue"/>
            <w:tcBorders>
              <w:top w:val="nil"/>
            </w:tcBorders>
            <w:vAlign w:val="center"/>
          </w:tcPr>
          <w:p>
            <w:pPr>
              <w:spacing w:line="240" w:lineRule="auto"/>
              <w:jc w:val="center"/>
              <w:rPr>
                <w:rFonts w:hint="eastAsia" w:ascii="宋体" w:hAnsi="宋体" w:eastAsia="宋体" w:cs="宋体"/>
                <w:b w:val="0"/>
                <w:bCs/>
                <w:sz w:val="21"/>
                <w:szCs w:val="21"/>
              </w:rPr>
            </w:pPr>
          </w:p>
        </w:tc>
        <w:tc>
          <w:tcPr>
            <w:tcW w:w="804" w:type="pct"/>
            <w:vAlign w:val="center"/>
          </w:tcPr>
          <w:p>
            <w:pPr>
              <w:pStyle w:val="47"/>
              <w:spacing w:before="49" w:line="240" w:lineRule="auto"/>
              <w:ind w:left="50"/>
              <w:jc w:val="center"/>
              <w:rPr>
                <w:rFonts w:hint="eastAsia" w:ascii="宋体" w:hAnsi="宋体" w:eastAsia="宋体" w:cs="宋体"/>
                <w:b w:val="0"/>
                <w:bCs/>
                <w:sz w:val="21"/>
                <w:szCs w:val="21"/>
              </w:rPr>
            </w:pPr>
            <w:r>
              <w:rPr>
                <w:rFonts w:hint="eastAsia" w:ascii="宋体" w:hAnsi="宋体" w:eastAsia="宋体" w:cs="宋体"/>
                <w:b w:val="0"/>
                <w:bCs/>
                <w:sz w:val="21"/>
                <w:szCs w:val="21"/>
              </w:rPr>
              <w:t>成本指标</w:t>
            </w:r>
          </w:p>
        </w:tc>
        <w:tc>
          <w:tcPr>
            <w:tcW w:w="883" w:type="pct"/>
            <w:vAlign w:val="center"/>
          </w:tcPr>
          <w:p>
            <w:pPr>
              <w:pStyle w:val="47"/>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成本控制率</w:t>
            </w:r>
          </w:p>
        </w:tc>
        <w:tc>
          <w:tcPr>
            <w:tcW w:w="1359" w:type="pct"/>
            <w:gridSpan w:val="3"/>
            <w:vAlign w:val="center"/>
          </w:tcPr>
          <w:p>
            <w:pPr>
              <w:pStyle w:val="47"/>
              <w:spacing w:before="49"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专项工作经费控制率</w:t>
            </w:r>
          </w:p>
        </w:tc>
        <w:tc>
          <w:tcPr>
            <w:tcW w:w="773" w:type="pct"/>
            <w:vAlign w:val="center"/>
          </w:tcPr>
          <w:p>
            <w:pPr>
              <w:pStyle w:val="47"/>
              <w:spacing w:before="49" w:line="240" w:lineRule="auto"/>
              <w:ind w:right="318"/>
              <w:jc w:val="center"/>
              <w:rPr>
                <w:rFonts w:hint="eastAsia" w:ascii="宋体" w:hAnsi="宋体" w:eastAsia="宋体" w:cs="宋体"/>
                <w:b w:val="0"/>
                <w:bCs/>
                <w:sz w:val="21"/>
                <w:szCs w:val="21"/>
              </w:rPr>
            </w:pPr>
            <w:r>
              <w:rPr>
                <w:rFonts w:hint="eastAsia" w:ascii="宋体" w:hAnsi="宋体" w:eastAsia="宋体" w:cs="宋体"/>
                <w:b w:val="0"/>
                <w:bCs/>
                <w:sz w:val="21"/>
                <w:szCs w:val="21"/>
              </w:rPr>
              <w:t>≤80 万</w:t>
            </w:r>
          </w:p>
        </w:tc>
        <w:tc>
          <w:tcPr>
            <w:tcW w:w="665" w:type="pct"/>
            <w:vAlign w:val="center"/>
          </w:tcPr>
          <w:p>
            <w:pPr>
              <w:pStyle w:val="47"/>
              <w:spacing w:before="62"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513" w:type="pct"/>
            <w:vMerge w:val="restart"/>
            <w:vAlign w:val="center"/>
          </w:tcPr>
          <w:p>
            <w:pPr>
              <w:pStyle w:val="47"/>
              <w:spacing w:line="240" w:lineRule="auto"/>
              <w:jc w:val="center"/>
              <w:rPr>
                <w:rFonts w:hint="eastAsia" w:ascii="宋体" w:hAnsi="宋体" w:eastAsia="宋体" w:cs="宋体"/>
                <w:b w:val="0"/>
                <w:bCs/>
                <w:sz w:val="21"/>
                <w:szCs w:val="21"/>
              </w:rPr>
            </w:pPr>
          </w:p>
          <w:p>
            <w:pPr>
              <w:pStyle w:val="47"/>
              <w:spacing w:line="240" w:lineRule="auto"/>
              <w:ind w:left="79"/>
              <w:jc w:val="center"/>
              <w:rPr>
                <w:rFonts w:hint="eastAsia" w:ascii="宋体" w:hAnsi="宋体" w:eastAsia="宋体" w:cs="宋体"/>
                <w:b w:val="0"/>
                <w:bCs/>
                <w:sz w:val="21"/>
                <w:szCs w:val="21"/>
              </w:rPr>
            </w:pPr>
            <w:r>
              <w:rPr>
                <w:rFonts w:hint="eastAsia" w:ascii="宋体" w:hAnsi="宋体" w:eastAsia="宋体" w:cs="宋体"/>
                <w:b w:val="0"/>
                <w:bCs/>
                <w:sz w:val="21"/>
                <w:szCs w:val="21"/>
              </w:rPr>
              <w:t>效果指标</w:t>
            </w:r>
          </w:p>
        </w:tc>
        <w:tc>
          <w:tcPr>
            <w:tcW w:w="804" w:type="pct"/>
            <w:vAlign w:val="center"/>
          </w:tcPr>
          <w:p>
            <w:pPr>
              <w:pStyle w:val="47"/>
              <w:spacing w:before="40"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经济效益指标</w:t>
            </w:r>
          </w:p>
        </w:tc>
        <w:tc>
          <w:tcPr>
            <w:tcW w:w="883"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1359" w:type="pct"/>
            <w:gridSpan w:val="3"/>
            <w:vAlign w:val="center"/>
          </w:tcPr>
          <w:p>
            <w:pPr>
              <w:pStyle w:val="47"/>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773" w:type="pct"/>
            <w:vAlign w:val="center"/>
          </w:tcPr>
          <w:p>
            <w:pPr>
              <w:pStyle w:val="47"/>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未涉及</w:t>
            </w:r>
          </w:p>
        </w:tc>
        <w:tc>
          <w:tcPr>
            <w:tcW w:w="665"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47"/>
              <w:spacing w:before="39"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社会效益指标</w:t>
            </w:r>
          </w:p>
        </w:tc>
        <w:tc>
          <w:tcPr>
            <w:tcW w:w="883"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1359" w:type="pct"/>
            <w:gridSpan w:val="3"/>
            <w:vAlign w:val="center"/>
          </w:tcPr>
          <w:p>
            <w:pPr>
              <w:pStyle w:val="47"/>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773" w:type="pct"/>
            <w:vAlign w:val="center"/>
          </w:tcPr>
          <w:p>
            <w:pPr>
              <w:pStyle w:val="47"/>
              <w:spacing w:before="8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对经济发展的促进作用</w:t>
            </w:r>
          </w:p>
        </w:tc>
        <w:tc>
          <w:tcPr>
            <w:tcW w:w="665"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2"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47"/>
              <w:spacing w:before="38" w:line="240" w:lineRule="auto"/>
              <w:ind w:left="30" w:right="24"/>
              <w:jc w:val="center"/>
              <w:rPr>
                <w:rFonts w:hint="eastAsia" w:ascii="宋体" w:hAnsi="宋体" w:eastAsia="宋体" w:cs="宋体"/>
                <w:b w:val="0"/>
                <w:bCs/>
                <w:sz w:val="21"/>
                <w:szCs w:val="21"/>
              </w:rPr>
            </w:pPr>
            <w:r>
              <w:rPr>
                <w:rFonts w:hint="eastAsia" w:ascii="宋体" w:hAnsi="宋体" w:eastAsia="宋体" w:cs="宋体"/>
                <w:b w:val="0"/>
                <w:bCs/>
                <w:sz w:val="21"/>
                <w:szCs w:val="21"/>
              </w:rPr>
              <w:t>生态效益指标</w:t>
            </w:r>
          </w:p>
        </w:tc>
        <w:tc>
          <w:tcPr>
            <w:tcW w:w="883"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1359" w:type="pct"/>
            <w:gridSpan w:val="3"/>
            <w:vAlign w:val="center"/>
          </w:tcPr>
          <w:p>
            <w:pPr>
              <w:pStyle w:val="47"/>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773" w:type="pct"/>
            <w:vAlign w:val="center"/>
          </w:tcPr>
          <w:p>
            <w:pPr>
              <w:pStyle w:val="47"/>
              <w:spacing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促进生态文明建设，推动绿色发展</w:t>
            </w:r>
          </w:p>
        </w:tc>
        <w:tc>
          <w:tcPr>
            <w:tcW w:w="665"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3" w:hRule="atLeast"/>
        </w:trPr>
        <w:tc>
          <w:tcPr>
            <w:tcW w:w="513" w:type="pct"/>
            <w:vMerge w:val="continue"/>
            <w:tcBorders>
              <w:top w:val="nil"/>
            </w:tcBorders>
          </w:tcPr>
          <w:p>
            <w:pPr>
              <w:spacing w:line="240" w:lineRule="auto"/>
              <w:rPr>
                <w:rFonts w:hint="eastAsia" w:ascii="宋体" w:hAnsi="宋体" w:eastAsia="宋体" w:cs="宋体"/>
                <w:b w:val="0"/>
                <w:bCs/>
                <w:sz w:val="21"/>
                <w:szCs w:val="21"/>
              </w:rPr>
            </w:pPr>
          </w:p>
        </w:tc>
        <w:tc>
          <w:tcPr>
            <w:tcW w:w="804" w:type="pct"/>
            <w:vAlign w:val="center"/>
          </w:tcPr>
          <w:p>
            <w:pPr>
              <w:pStyle w:val="47"/>
              <w:spacing w:line="240" w:lineRule="auto"/>
              <w:ind w:left="252" w:right="42" w:hanging="202"/>
              <w:jc w:val="center"/>
              <w:rPr>
                <w:rFonts w:hint="eastAsia" w:ascii="宋体" w:hAnsi="宋体" w:eastAsia="宋体" w:cs="宋体"/>
                <w:b w:val="0"/>
                <w:bCs/>
                <w:sz w:val="21"/>
                <w:szCs w:val="21"/>
              </w:rPr>
            </w:pPr>
            <w:r>
              <w:rPr>
                <w:rFonts w:hint="eastAsia" w:ascii="宋体" w:hAnsi="宋体" w:eastAsia="宋体" w:cs="宋体"/>
                <w:b w:val="0"/>
                <w:bCs/>
                <w:sz w:val="21"/>
                <w:szCs w:val="21"/>
              </w:rPr>
              <w:t>可持续性影响</w:t>
            </w:r>
          </w:p>
        </w:tc>
        <w:tc>
          <w:tcPr>
            <w:tcW w:w="883" w:type="pct"/>
            <w:vAlign w:val="center"/>
          </w:tcPr>
          <w:p>
            <w:pPr>
              <w:pStyle w:val="47"/>
              <w:spacing w:line="240" w:lineRule="auto"/>
              <w:ind w:left="10" w:right="33"/>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1359" w:type="pct"/>
            <w:gridSpan w:val="3"/>
            <w:vAlign w:val="center"/>
          </w:tcPr>
          <w:p>
            <w:pPr>
              <w:pStyle w:val="47"/>
              <w:spacing w:line="240" w:lineRule="auto"/>
              <w:ind w:left="9" w:right="5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773" w:type="pct"/>
            <w:vAlign w:val="center"/>
          </w:tcPr>
          <w:p>
            <w:pPr>
              <w:pStyle w:val="47"/>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保障业务正常运行</w:t>
            </w:r>
          </w:p>
        </w:tc>
        <w:tc>
          <w:tcPr>
            <w:tcW w:w="665"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6" w:hRule="atLeast"/>
        </w:trPr>
        <w:tc>
          <w:tcPr>
            <w:tcW w:w="513" w:type="pct"/>
          </w:tcPr>
          <w:p>
            <w:pPr>
              <w:pStyle w:val="47"/>
              <w:spacing w:before="1" w:line="240" w:lineRule="auto"/>
              <w:ind w:left="379" w:right="67" w:hanging="300"/>
              <w:rPr>
                <w:rFonts w:hint="eastAsia" w:ascii="宋体" w:hAnsi="宋体" w:eastAsia="宋体" w:cs="宋体"/>
                <w:b w:val="0"/>
                <w:bCs/>
                <w:sz w:val="21"/>
                <w:szCs w:val="21"/>
              </w:rPr>
            </w:pPr>
            <w:r>
              <w:rPr>
                <w:rFonts w:hint="eastAsia" w:ascii="宋体" w:hAnsi="宋体" w:eastAsia="宋体" w:cs="宋体"/>
                <w:b w:val="0"/>
                <w:bCs/>
                <w:sz w:val="21"/>
                <w:szCs w:val="21"/>
              </w:rPr>
              <w:t>满意度指标</w:t>
            </w:r>
          </w:p>
        </w:tc>
        <w:tc>
          <w:tcPr>
            <w:tcW w:w="804" w:type="pct"/>
            <w:vAlign w:val="center"/>
          </w:tcPr>
          <w:p>
            <w:pPr>
              <w:pStyle w:val="47"/>
              <w:spacing w:before="39" w:line="240" w:lineRule="auto"/>
              <w:ind w:left="9" w:right="83"/>
              <w:jc w:val="center"/>
              <w:rPr>
                <w:rFonts w:hint="eastAsia" w:ascii="宋体" w:hAnsi="宋体" w:eastAsia="宋体" w:cs="宋体"/>
                <w:b w:val="0"/>
                <w:bCs/>
                <w:sz w:val="21"/>
                <w:szCs w:val="21"/>
              </w:rPr>
            </w:pPr>
            <w:r>
              <w:rPr>
                <w:rFonts w:hint="eastAsia" w:ascii="宋体" w:hAnsi="宋体" w:eastAsia="宋体" w:cs="宋体"/>
                <w:b w:val="0"/>
                <w:bCs/>
                <w:sz w:val="21"/>
                <w:szCs w:val="21"/>
              </w:rPr>
              <w:t>服务对象满意度指</w:t>
            </w:r>
            <w:r>
              <w:rPr>
                <w:rFonts w:hint="eastAsia" w:ascii="宋体" w:hAnsi="宋体" w:eastAsia="宋体" w:cs="宋体"/>
                <w:b w:val="0"/>
                <w:bCs/>
                <w:w w:val="99"/>
                <w:sz w:val="21"/>
                <w:szCs w:val="21"/>
              </w:rPr>
              <w:t>标</w:t>
            </w:r>
          </w:p>
        </w:tc>
        <w:tc>
          <w:tcPr>
            <w:tcW w:w="883"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1359" w:type="pct"/>
            <w:gridSpan w:val="3"/>
            <w:vAlign w:val="center"/>
          </w:tcPr>
          <w:p>
            <w:pPr>
              <w:pStyle w:val="47"/>
              <w:spacing w:before="1" w:line="240" w:lineRule="auto"/>
              <w:ind w:left="9"/>
              <w:jc w:val="center"/>
              <w:rPr>
                <w:rFonts w:hint="eastAsia" w:ascii="宋体" w:hAnsi="宋体" w:eastAsia="宋体" w:cs="宋体"/>
                <w:b w:val="0"/>
                <w:bCs/>
                <w:sz w:val="21"/>
                <w:szCs w:val="21"/>
              </w:rPr>
            </w:pPr>
            <w:r>
              <w:rPr>
                <w:rFonts w:hint="eastAsia" w:ascii="宋体" w:hAnsi="宋体" w:eastAsia="宋体" w:cs="宋体"/>
                <w:b w:val="0"/>
                <w:bCs/>
                <w:sz w:val="21"/>
                <w:szCs w:val="21"/>
              </w:rPr>
              <w:t>企业满意度</w:t>
            </w:r>
          </w:p>
        </w:tc>
        <w:tc>
          <w:tcPr>
            <w:tcW w:w="773" w:type="pct"/>
            <w:vAlign w:val="center"/>
          </w:tcPr>
          <w:p>
            <w:pPr>
              <w:pStyle w:val="47"/>
              <w:spacing w:before="1" w:line="240" w:lineRule="auto"/>
              <w:ind w:left="403"/>
              <w:jc w:val="both"/>
              <w:rPr>
                <w:rFonts w:hint="eastAsia" w:ascii="宋体" w:hAnsi="宋体" w:eastAsia="宋体" w:cs="宋体"/>
                <w:b w:val="0"/>
                <w:bCs/>
                <w:sz w:val="21"/>
                <w:szCs w:val="21"/>
              </w:rPr>
            </w:pPr>
            <w:r>
              <w:rPr>
                <w:rFonts w:hint="eastAsia" w:ascii="宋体" w:hAnsi="宋体" w:eastAsia="宋体" w:cs="宋体"/>
                <w:b w:val="0"/>
                <w:bCs/>
                <w:sz w:val="21"/>
                <w:szCs w:val="21"/>
              </w:rPr>
              <w:t>≥90%</w:t>
            </w:r>
          </w:p>
        </w:tc>
        <w:tc>
          <w:tcPr>
            <w:tcW w:w="665" w:type="pct"/>
            <w:vAlign w:val="center"/>
          </w:tcPr>
          <w:p>
            <w:pPr>
              <w:pStyle w:val="47"/>
              <w:spacing w:line="240" w:lineRule="auto"/>
              <w:ind w:left="10"/>
              <w:jc w:val="center"/>
              <w:rPr>
                <w:rFonts w:hint="eastAsia" w:ascii="宋体" w:hAnsi="宋体" w:eastAsia="宋体" w:cs="宋体"/>
                <w:b w:val="0"/>
                <w:bCs/>
                <w:sz w:val="21"/>
                <w:szCs w:val="21"/>
              </w:rPr>
            </w:pPr>
            <w:r>
              <w:rPr>
                <w:rFonts w:hint="eastAsia" w:ascii="宋体" w:hAnsi="宋体" w:eastAsia="宋体" w:cs="宋体"/>
                <w:b w:val="0"/>
                <w:bCs/>
                <w:sz w:val="21"/>
                <w:szCs w:val="21"/>
              </w:rPr>
              <w:t>工作需要</w:t>
            </w:r>
          </w:p>
        </w:tc>
      </w:tr>
      <w:bookmarkEnd w:id="2"/>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hint="eastAsia" w:ascii="仿宋_GB2312" w:hAnsi="仿宋_GB2312" w:eastAsia="仿宋_GB2312" w:cs="仿宋_GB2312"/>
          <w:sz w:val="32"/>
          <w:szCs w:val="24"/>
        </w:rPr>
      </w:pPr>
      <w:bookmarkStart w:id="4" w:name="_Toc471398468"/>
      <w:r>
        <w:rPr>
          <w:rFonts w:hint="eastAsia" w:ascii="仿宋_GB2312" w:hAnsi="仿宋_GB2312" w:eastAsia="仿宋_GB2312" w:cs="仿宋_GB2312"/>
          <w:sz w:val="32"/>
          <w:szCs w:val="24"/>
        </w:rPr>
        <w:t xml:space="preserve">   20</w:t>
      </w:r>
      <w:r>
        <w:rPr>
          <w:rFonts w:hint="eastAsia" w:ascii="仿宋_GB2312" w:hAnsi="仿宋_GB2312" w:eastAsia="仿宋_GB2312" w:cs="仿宋_GB2312"/>
          <w:sz w:val="32"/>
          <w:szCs w:val="24"/>
          <w:lang w:val="en-US" w:eastAsia="zh-CN"/>
        </w:rPr>
        <w:t>21</w:t>
      </w:r>
      <w:r>
        <w:rPr>
          <w:rFonts w:hint="eastAsia" w:ascii="仿宋_GB2312" w:hAnsi="仿宋_GB2312" w:eastAsia="仿宋_GB2312" w:cs="仿宋_GB2312"/>
          <w:sz w:val="32"/>
          <w:szCs w:val="24"/>
        </w:rPr>
        <w:t>年，安排政府采购预算</w:t>
      </w:r>
      <w:r>
        <w:rPr>
          <w:rFonts w:hint="eastAsia" w:ascii="仿宋_GB2312" w:hAnsi="仿宋_GB2312" w:eastAsia="仿宋_GB2312" w:cs="仿宋_GB2312"/>
          <w:sz w:val="32"/>
          <w:szCs w:val="24"/>
          <w:lang w:val="en-US" w:eastAsia="zh-CN"/>
        </w:rPr>
        <w:t>113.20</w:t>
      </w:r>
      <w:r>
        <w:rPr>
          <w:rFonts w:hint="eastAsia" w:ascii="仿宋_GB2312" w:hAnsi="仿宋_GB2312" w:eastAsia="仿宋_GB2312" w:cs="仿宋_GB2312"/>
          <w:sz w:val="32"/>
          <w:szCs w:val="24"/>
        </w:rPr>
        <w:t>万元。具体内容见下表。</w:t>
      </w:r>
    </w:p>
    <w:p>
      <w:pPr>
        <w:jc w:val="center"/>
        <w:outlineLvl w:val="0"/>
        <w:rPr>
          <w:rFonts w:hint="eastAsia" w:asciiTheme="minorEastAsia" w:hAnsiTheme="minorEastAsia" w:eastAsiaTheme="minorEastAsia" w:cstheme="minorEastAsia"/>
          <w:b w:val="0"/>
          <w:bCs w:val="0"/>
          <w:sz w:val="32"/>
        </w:rPr>
      </w:pPr>
      <w:bookmarkStart w:id="5" w:name="_Toc536802299"/>
      <w:r>
        <w:rPr>
          <w:rFonts w:hint="eastAsia" w:asciiTheme="minorEastAsia" w:hAnsiTheme="minorEastAsia" w:eastAsiaTheme="minorEastAsia" w:cstheme="minorEastAsia"/>
          <w:b w:val="0"/>
          <w:bCs w:val="0"/>
          <w:sz w:val="32"/>
        </w:rPr>
        <w:t>部门政府采购预算</w:t>
      </w:r>
      <w:bookmarkEnd w:id="5"/>
    </w:p>
    <w:tbl>
      <w:tblPr>
        <w:tblStyle w:val="6"/>
        <w:tblW w:w="499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7"/>
        <w:gridCol w:w="1163"/>
        <w:gridCol w:w="1348"/>
        <w:gridCol w:w="1405"/>
        <w:gridCol w:w="690"/>
        <w:gridCol w:w="770"/>
        <w:gridCol w:w="890"/>
        <w:gridCol w:w="907"/>
        <w:gridCol w:w="1196"/>
        <w:gridCol w:w="867"/>
        <w:gridCol w:w="1145"/>
        <w:gridCol w:w="921"/>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850" w:type="pct"/>
            <w:gridSpan w:val="7"/>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593承德市工业和信息化局</w:t>
            </w:r>
          </w:p>
        </w:tc>
        <w:tc>
          <w:tcPr>
            <w:tcW w:w="2149" w:type="pct"/>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hint="eastAsia" w:asciiTheme="minorEastAsia" w:hAnsiTheme="minorEastAsia" w:eastAsiaTheme="minorEastAsia" w:cstheme="minorEastAsia"/>
                <w:b w:val="0"/>
                <w:bCs w:val="0"/>
                <w:sz w:val="24"/>
              </w:rPr>
            </w:pPr>
            <w:r>
              <w:rPr>
                <w:rFonts w:hint="eastAsia" w:asciiTheme="minorEastAsia" w:hAnsiTheme="minorEastAsia" w:eastAsiaTheme="minorEastAsia" w:cstheme="minorEastAsia"/>
                <w:b w:val="0"/>
                <w:bCs w:val="0"/>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48" w:type="pct"/>
            <w:gridSpan w:val="2"/>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政府采购项目来源</w:t>
            </w:r>
          </w:p>
        </w:tc>
        <w:tc>
          <w:tcPr>
            <w:tcW w:w="475"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采购物品名称</w:t>
            </w:r>
          </w:p>
        </w:tc>
        <w:tc>
          <w:tcPr>
            <w:tcW w:w="496"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政府采购目录序号</w:t>
            </w:r>
          </w:p>
        </w:tc>
        <w:tc>
          <w:tcPr>
            <w:tcW w:w="243"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计量  单位</w:t>
            </w:r>
          </w:p>
        </w:tc>
        <w:tc>
          <w:tcPr>
            <w:tcW w:w="271"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数量</w:t>
            </w:r>
          </w:p>
        </w:tc>
        <w:tc>
          <w:tcPr>
            <w:tcW w:w="314" w:type="pct"/>
            <w:vMerge w:val="restar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单价</w:t>
            </w:r>
          </w:p>
        </w:tc>
        <w:tc>
          <w:tcPr>
            <w:tcW w:w="2149" w:type="pct"/>
            <w:gridSpan w:val="6"/>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项目名称</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预算资金</w:t>
            </w:r>
          </w:p>
        </w:tc>
        <w:tc>
          <w:tcPr>
            <w:tcW w:w="475"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496"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43"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271"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14" w:type="pct"/>
            <w:vMerge w:val="continue"/>
            <w:shd w:val="clear" w:color="auto" w:fill="auto"/>
            <w:noWrap w:val="0"/>
            <w:vAlign w:val="center"/>
          </w:tcPr>
          <w:p>
            <w:pPr>
              <w:spacing w:line="300" w:lineRule="exact"/>
              <w:jc w:val="center"/>
              <w:outlineLvl w:val="0"/>
              <w:rPr>
                <w:rFonts w:hint="eastAsia" w:asciiTheme="minorEastAsia" w:hAnsiTheme="minorEastAsia" w:eastAsiaTheme="minorEastAsia" w:cstheme="minorEastAsia"/>
                <w:b w:val="0"/>
                <w:bCs w:val="0"/>
                <w:sz w:val="28"/>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合计</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一般公共预算拨款</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基金预算拨款</w:t>
            </w: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国有资本经营预算拨款</w:t>
            </w: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财政专户核拨</w:t>
            </w: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小</w:t>
            </w:r>
            <w:r>
              <w:rPr>
                <w:rFonts w:hint="eastAsia" w:asciiTheme="minorEastAsia" w:hAnsiTheme="minorEastAsia" w:eastAsiaTheme="minorEastAsia" w:cstheme="minorEastAsia"/>
                <w:b w:val="0"/>
                <w:bCs w:val="0"/>
                <w:lang w:val="en-US" w:eastAsia="zh-CN"/>
              </w:rPr>
              <w:t xml:space="preserve">   </w:t>
            </w:r>
            <w:r>
              <w:rPr>
                <w:rFonts w:hint="eastAsia" w:asciiTheme="minorEastAsia" w:hAnsiTheme="minorEastAsia" w:eastAsiaTheme="minorEastAsia" w:cstheme="minorEastAsia"/>
                <w:b w:val="0"/>
                <w:bCs w:val="0"/>
              </w:rPr>
              <w:t>计</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113.2</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扫描仪</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01</w:t>
            </w:r>
            <w:r>
              <w:rPr>
                <w:rFonts w:hint="eastAsia" w:asciiTheme="minorEastAsia" w:hAnsiTheme="minorEastAsia" w:eastAsiaTheme="minorEastAsia" w:cstheme="minorEastAsia"/>
                <w:b w:val="0"/>
                <w:bCs w:val="0"/>
                <w:color w:val="000000" w:themeColor="text1"/>
                <w14:textFill>
                  <w14:solidFill>
                    <w14:schemeClr w14:val="tx1"/>
                  </w14:solidFill>
                </w14:textFill>
              </w:rPr>
              <w:t>060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9</w:t>
            </w: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5.00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复印机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0.40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碎纸</w:t>
            </w:r>
            <w:r>
              <w:rPr>
                <w:rFonts w:hint="eastAsia" w:asciiTheme="minorEastAsia" w:hAnsiTheme="minorEastAsia" w:eastAsiaTheme="minorEastAsia" w:cstheme="minorEastAsia"/>
                <w:b w:val="0"/>
                <w:bCs w:val="0"/>
                <w:color w:val="000000" w:themeColor="text1"/>
                <w14:textFill>
                  <w14:solidFill>
                    <w14:schemeClr w14:val="tx1"/>
                  </w14:solidFill>
                </w14:textFill>
              </w:rPr>
              <w:t>机</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21101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台</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08</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0.4</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0.4</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1.30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沙发</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60402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支</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0.13</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1.30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1.30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0.70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档案柜</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A020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40102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个</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1</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07</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70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70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0.80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椅子</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A0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60302</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eastAsia="zh-CN"/>
                <w14:textFill>
                  <w14:solidFill>
                    <w14:schemeClr w14:val="tx1"/>
                  </w14:solidFill>
                </w14:textFill>
              </w:rPr>
              <w:t>把</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b w:val="0"/>
                <w:bCs w:val="0"/>
                <w:color w:val="000000" w:themeColor="text1"/>
                <w14:textFill>
                  <w14:solidFill>
                    <w14:schemeClr w14:val="tx1"/>
                  </w14:solidFill>
                </w14:textFill>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0.04</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color w:val="000000" w:themeColor="text1"/>
                <w14:textFill>
                  <w14:solidFill>
                    <w14:schemeClr w14:val="tx1"/>
                  </w14:solidFill>
                </w14:textFill>
              </w:rPr>
            </w:pPr>
            <w:r>
              <w:rPr>
                <w:rFonts w:hint="eastAsia" w:asciiTheme="minorEastAsia" w:hAnsiTheme="minorEastAsia" w:eastAsiaTheme="minorEastAsia" w:cstheme="minorEastAsia"/>
                <w:b w:val="0"/>
                <w:bCs w:val="0"/>
                <w:color w:val="000000" w:themeColor="text1"/>
                <w14:textFill>
                  <w14:solidFill>
                    <w14:schemeClr w14:val="tx1"/>
                  </w14:solidFill>
                </w14:textFill>
              </w:rPr>
              <w:t>0.</w:t>
            </w:r>
            <w:r>
              <w:rPr>
                <w:rFonts w:hint="eastAsia" w:asciiTheme="minorEastAsia" w:hAnsiTheme="minorEastAsia" w:eastAsiaTheme="minorEastAsia" w:cstheme="minorEastAsia"/>
                <w:b w:val="0"/>
                <w:bCs w:val="0"/>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14:textFill>
                  <w14:solidFill>
                    <w14:schemeClr w14:val="tx1"/>
                  </w14:solidFill>
                </w14:textFill>
              </w:rPr>
              <w:t>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日常公用经费</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办公桌</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rPr>
              <w:t>A0</w:t>
            </w:r>
            <w:r>
              <w:rPr>
                <w:rFonts w:hint="eastAsia" w:asciiTheme="minorEastAsia" w:hAnsiTheme="minorEastAsia" w:eastAsiaTheme="minorEastAsia" w:cstheme="minorEastAsia"/>
                <w:b w:val="0"/>
                <w:bCs w:val="0"/>
                <w:lang w:val="en-US" w:eastAsia="zh-CN"/>
              </w:rPr>
              <w:t>60205</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lang w:eastAsia="zh-CN"/>
              </w:rPr>
              <w:t>张</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2</w:t>
            </w:r>
            <w:r>
              <w:rPr>
                <w:rFonts w:hint="eastAsia" w:asciiTheme="minorEastAsia" w:hAnsiTheme="minorEastAsia" w:eastAsiaTheme="minorEastAsia" w:cstheme="minorEastAsia"/>
                <w:b w:val="0"/>
                <w:bCs w:val="0"/>
                <w:lang w:val="en-US" w:eastAsia="zh-CN"/>
              </w:rPr>
              <w:t>0</w:t>
            </w:r>
            <w:r>
              <w:rPr>
                <w:rFonts w:hint="eastAsia" w:asciiTheme="minorEastAsia" w:hAnsiTheme="minorEastAsia" w:eastAsiaTheme="minorEastAsia" w:cstheme="minorEastAsia"/>
                <w:b w:val="0"/>
                <w:bCs w:val="0"/>
              </w:rPr>
              <w:t>.00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eastAsia="zh-CN"/>
              </w:rPr>
            </w:pPr>
            <w:r>
              <w:rPr>
                <w:rFonts w:hint="eastAsia" w:asciiTheme="minorEastAsia" w:hAnsiTheme="minorEastAsia" w:eastAsiaTheme="minorEastAsia" w:cstheme="minorEastAsia"/>
                <w:b w:val="0"/>
                <w:bCs w:val="0"/>
              </w:rPr>
              <w:t>0.1</w:t>
            </w:r>
            <w:r>
              <w:rPr>
                <w:rFonts w:hint="eastAsia" w:asciiTheme="minorEastAsia" w:hAnsiTheme="minorEastAsia" w:eastAsiaTheme="minorEastAsia" w:cstheme="minorEastAsia"/>
                <w:b w:val="0"/>
                <w:bCs w:val="0"/>
                <w:lang w:val="en-US" w:eastAsia="zh-CN"/>
              </w:rPr>
              <w:t>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0.</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lang w:val="en-US" w:eastAsia="zh-CN"/>
              </w:rPr>
              <w:t>2.00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637"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中国数字经济博览会承德会展项目</w:t>
            </w:r>
          </w:p>
        </w:tc>
        <w:tc>
          <w:tcPr>
            <w:tcW w:w="41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7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博览会服务</w:t>
            </w:r>
          </w:p>
        </w:tc>
        <w:tc>
          <w:tcPr>
            <w:tcW w:w="49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C060201</w:t>
            </w:r>
          </w:p>
        </w:tc>
        <w:tc>
          <w:tcPr>
            <w:tcW w:w="243"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场</w:t>
            </w:r>
          </w:p>
        </w:tc>
        <w:tc>
          <w:tcPr>
            <w:tcW w:w="271"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w:t>
            </w:r>
          </w:p>
        </w:tc>
        <w:tc>
          <w:tcPr>
            <w:tcW w:w="31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20"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42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r>
              <w:rPr>
                <w:rFonts w:hint="eastAsia" w:asciiTheme="minorEastAsia" w:hAnsiTheme="minorEastAsia" w:eastAsiaTheme="minorEastAsia" w:cstheme="minorEastAsia"/>
                <w:b w:val="0"/>
                <w:bCs w:val="0"/>
              </w:rPr>
              <w:t>100.00</w:t>
            </w:r>
          </w:p>
        </w:tc>
        <w:tc>
          <w:tcPr>
            <w:tcW w:w="306"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404"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25"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c>
          <w:tcPr>
            <w:tcW w:w="372" w:type="pct"/>
            <w:shd w:val="clear" w:color="auto" w:fill="auto"/>
            <w:noWrap w:val="0"/>
            <w:vAlign w:val="center"/>
          </w:tcPr>
          <w:p>
            <w:pPr>
              <w:spacing w:line="300" w:lineRule="exact"/>
              <w:jc w:val="center"/>
              <w:rPr>
                <w:rFonts w:hint="eastAsia" w:asciiTheme="minorEastAsia" w:hAnsiTheme="minorEastAsia" w:eastAsiaTheme="minorEastAsia" w:cstheme="minorEastAsia"/>
                <w:b w:val="0"/>
                <w:bCs w:val="0"/>
              </w:rPr>
            </w:pPr>
          </w:p>
        </w:tc>
      </w:tr>
    </w:tbl>
    <w:p>
      <w:pPr>
        <w:jc w:val="center"/>
        <w:outlineLvl w:val="0"/>
        <w:rPr>
          <w:rFonts w:hint="eastAsia" w:ascii="方正小标宋_GBK" w:eastAsia="方正小标宋_GBK"/>
          <w:sz w:val="32"/>
        </w:rPr>
      </w:pPr>
    </w:p>
    <w:bookmarkEnd w:id="4"/>
    <w:p>
      <w:pPr>
        <w:autoSpaceDE w:val="0"/>
        <w:autoSpaceDN w:val="0"/>
        <w:adjustRightInd w:val="0"/>
        <w:jc w:val="left"/>
        <w:rPr>
          <w:rFonts w:hint="eastAsia" w:ascii="黑体" w:hAnsi="黑体" w:eastAsia="黑体" w:cs="Times New Roman"/>
          <w:sz w:val="32"/>
          <w:szCs w:val="3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七、国有资产信息</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上年末固定资产金额为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882.79</w:t>
      </w:r>
      <w:r>
        <w:rPr>
          <w:rFonts w:hint="eastAsia" w:ascii="仿宋_GB2312" w:hAnsi="仿宋_GB2312" w:eastAsia="仿宋_GB2312" w:cs="仿宋_GB2312"/>
          <w:color w:val="000000" w:themeColor="text1"/>
          <w:sz w:val="32"/>
          <w:szCs w:val="32"/>
          <w14:textFill>
            <w14:solidFill>
              <w14:schemeClr w14:val="tx1"/>
            </w14:solidFill>
          </w14:textFill>
        </w:rPr>
        <w:t>万元（详见下表），本年度拟购置固定资产主要为</w:t>
      </w:r>
      <w:r>
        <w:rPr>
          <w:rFonts w:hint="eastAsia" w:ascii="仿宋_GB2312" w:hAnsi="仿宋_GB2312" w:eastAsia="仿宋_GB2312" w:cs="仿宋_GB2312"/>
          <w:color w:val="000000" w:themeColor="text1"/>
          <w:sz w:val="32"/>
          <w:szCs w:val="32"/>
          <w:lang w:eastAsia="zh-CN"/>
          <w14:textFill>
            <w14:solidFill>
              <w14:schemeClr w14:val="tx1"/>
            </w14:solidFill>
          </w14:textFill>
        </w:rPr>
        <w:t>复印机、扫描仪、办公桌椅</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lang w:eastAsia="zh-CN"/>
          <w14:textFill>
            <w14:solidFill>
              <w14:schemeClr w14:val="tx1"/>
            </w14:solidFill>
          </w14:textFill>
        </w:rPr>
        <w:t>，共计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13.20万元，均是20万元以下的设备。其余100.00万元为</w:t>
      </w:r>
      <w:r>
        <w:rPr>
          <w:rFonts w:hint="eastAsia" w:ascii="仿宋_GB2312" w:hAnsi="仿宋_GB2312" w:eastAsia="仿宋_GB2312" w:cs="仿宋_GB2312"/>
          <w:color w:val="000000" w:themeColor="text1"/>
          <w:sz w:val="32"/>
          <w:szCs w:val="32"/>
          <w14:textFill>
            <w14:solidFill>
              <w14:schemeClr w14:val="tx1"/>
            </w14:solidFill>
          </w14:textFill>
        </w:rPr>
        <w:t>中国数字经济博览会承德会展项目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服务采购，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本年预算拟购置的固定资产为其他固定资产，共计13.20万元,已列入政府采购预算表。</w:t>
      </w:r>
    </w:p>
    <w:p>
      <w:pPr>
        <w:keepNext w:val="0"/>
        <w:keepLines w:val="0"/>
        <w:pageBreakBefore w:val="0"/>
        <w:widowControl w:val="0"/>
        <w:kinsoku/>
        <w:wordWrap/>
        <w:overflowPunct/>
        <w:topLinePunct w:val="0"/>
        <w:bidi w:val="0"/>
        <w:snapToGrid/>
        <w:spacing w:line="56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17"/>
        <w:gridCol w:w="3514"/>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val="en-US" w:eastAsia="zh-CN"/>
              </w:rPr>
              <w:t>承德市</w:t>
            </w:r>
            <w:r>
              <w:rPr>
                <w:rFonts w:hint="eastAsia" w:ascii="宋体" w:hAnsi="宋体" w:eastAsia="宋体" w:cs="宋体"/>
                <w:b/>
                <w:bCs/>
                <w:kern w:val="0"/>
                <w:sz w:val="32"/>
                <w:szCs w:val="32"/>
              </w:rPr>
              <w:t>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r>
              <w:rPr>
                <w:rFonts w:hint="eastAsia" w:ascii="宋体" w:hAnsi="宋体" w:cs="宋体"/>
                <w:kern w:val="0"/>
                <w:sz w:val="22"/>
                <w:lang w:val="en-US" w:eastAsia="zh-CN"/>
              </w:rPr>
              <w:t>承德市工业和信息化局</w:t>
            </w:r>
          </w:p>
        </w:tc>
        <w:tc>
          <w:tcPr>
            <w:tcW w:w="1892" w:type="pct"/>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w:t>
            </w:r>
            <w:r>
              <w:rPr>
                <w:rFonts w:hint="eastAsia" w:ascii="宋体" w:hAnsi="宋体" w:cs="宋体"/>
                <w:kern w:val="0"/>
                <w:sz w:val="22"/>
                <w:lang w:val="en-US" w:eastAsia="zh-CN"/>
              </w:rPr>
              <w:t>20</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1169"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1892" w:type="pct"/>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937" w:type="pc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4503.94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370.88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830.94</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1169"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8</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191.36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937" w:type="pct"/>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1169" w:type="pct"/>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892" w:type="pct"/>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eastAsia="zh-CN"/>
              </w:rPr>
            </w:pPr>
            <w:r>
              <w:rPr>
                <w:rFonts w:hint="eastAsia" w:ascii="宋体" w:hAnsi="宋体" w:cs="宋体"/>
                <w:kern w:val="0"/>
                <w:sz w:val="22"/>
                <w:lang w:val="en-US" w:eastAsia="zh-CN"/>
              </w:rPr>
              <w:t>320.55</w:t>
            </w:r>
          </w:p>
        </w:tc>
      </w:tr>
    </w:tbl>
    <w:p>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说明：</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实有车辆</w:t>
      </w:r>
      <w:r>
        <w:rPr>
          <w:rFonts w:hint="eastAsia" w:ascii="宋体" w:hAnsi="宋体" w:eastAsia="宋体" w:cs="宋体"/>
          <w:color w:val="auto"/>
          <w:sz w:val="24"/>
          <w:szCs w:val="24"/>
          <w:lang w:val="en-US" w:eastAsia="zh-CN"/>
        </w:rPr>
        <w:t>6辆。</w:t>
      </w:r>
    </w:p>
    <w:p>
      <w:pPr>
        <w:rPr>
          <w:rFonts w:hint="eastAsia" w:ascii="仿宋_GB2312" w:hAnsi="黑体" w:eastAsia="仿宋_GB2312" w:cs="Times New Roman"/>
          <w:color w:val="auto"/>
          <w:sz w:val="32"/>
          <w:szCs w:val="32"/>
          <w:lang w:val="en-US" w:eastAsia="zh-CN"/>
        </w:rPr>
      </w:pPr>
      <w:r>
        <w:rPr>
          <w:rFonts w:hint="eastAsia" w:ascii="宋体" w:hAnsi="宋体" w:eastAsia="宋体" w:cs="宋体"/>
          <w:color w:val="auto"/>
          <w:sz w:val="24"/>
          <w:szCs w:val="24"/>
          <w:lang w:val="en-US" w:eastAsia="zh-CN"/>
        </w:rPr>
        <w:t xml:space="preserve">      2、办公用房价值80.84万元计入固定资产。</w:t>
      </w:r>
    </w:p>
    <w:p>
      <w:pPr>
        <w:numPr>
          <w:ilvl w:val="0"/>
          <w:numId w:val="0"/>
        </w:numPr>
        <w:autoSpaceDE w:val="0"/>
        <w:autoSpaceDN w:val="0"/>
        <w:adjustRightInd w:val="0"/>
        <w:ind w:firstLine="640" w:firstLineChars="200"/>
        <w:jc w:val="left"/>
        <w:rPr>
          <w:rFonts w:hint="eastAsia" w:ascii="黑体" w:hAnsi="黑体" w:eastAsia="黑体" w:cs="Times New Roman"/>
          <w:sz w:val="32"/>
          <w:szCs w:val="32"/>
          <w:lang w:eastAsia="zh-CN"/>
        </w:rPr>
      </w:pPr>
    </w:p>
    <w:p>
      <w:pPr>
        <w:numPr>
          <w:ilvl w:val="0"/>
          <w:numId w:val="0"/>
        </w:numPr>
        <w:autoSpaceDE w:val="0"/>
        <w:autoSpaceDN w:val="0"/>
        <w:adjustRightInd w:val="0"/>
        <w:ind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lang w:eastAsia="zh-CN"/>
        </w:rPr>
        <w:t>八、</w:t>
      </w:r>
      <w:r>
        <w:rPr>
          <w:rFonts w:hint="eastAsia" w:ascii="黑体" w:hAnsi="黑体" w:eastAsia="黑体" w:cs="Times New Roman"/>
          <w:sz w:val="32"/>
          <w:szCs w:val="32"/>
        </w:rPr>
        <w:t>名词解释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1、一般预算收入：市级财政当年拨付的资金。</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支出。</w:t>
      </w:r>
    </w:p>
    <w:p>
      <w:pPr>
        <w:numPr>
          <w:ilvl w:val="0"/>
          <w:numId w:val="0"/>
        </w:numPr>
        <w:autoSpaceDE w:val="0"/>
        <w:autoSpaceDN w:val="0"/>
        <w:adjustRightInd w:val="0"/>
        <w:ind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十、本单位预算批复时间及批复文件号</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本单位预算批复时间：2021年2月8日；</w:t>
      </w:r>
    </w:p>
    <w:p>
      <w:pPr>
        <w:numPr>
          <w:ilvl w:val="0"/>
          <w:numId w:val="0"/>
        </w:numPr>
        <w:ind w:firstLine="640" w:firstLineChars="200"/>
        <w:rPr>
          <w:rFonts w:hint="eastAsia" w:eastAsia="宋体"/>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本单位预算批复文件号：承财预【2021】13号。</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5</w:t>
                    </w:r>
                    <w:r>
                      <w:rPr>
                        <w:rStyle w:val="9"/>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33</w:t>
                          </w:r>
                          <w:r>
                            <w:rPr>
                              <w:rStyle w:val="9"/>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3"/>
                      <w:rPr>
                        <w:rStyle w:val="9"/>
                      </w:rPr>
                    </w:pPr>
                    <w:r>
                      <w:rPr>
                        <w:rStyle w:val="9"/>
                      </w:rPr>
                      <w:fldChar w:fldCharType="begin"/>
                    </w:r>
                    <w:r>
                      <w:rPr>
                        <w:rStyle w:val="9"/>
                      </w:rPr>
                      <w:instrText xml:space="preserve">PAGE  </w:instrText>
                    </w:r>
                    <w:r>
                      <w:rPr>
                        <w:rStyle w:val="9"/>
                      </w:rPr>
                      <w:fldChar w:fldCharType="separate"/>
                    </w:r>
                    <w:r>
                      <w:rPr>
                        <w:rStyle w:val="9"/>
                      </w:rPr>
                      <w:t>33</w:t>
                    </w:r>
                    <w:r>
                      <w:rPr>
                        <w:rStyle w:val="9"/>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3173"/>
      </w:tabs>
      <w:jc w:val="left"/>
      <w:rPr>
        <w:rFonts w:hint="eastAsia" w:eastAsia="宋体"/>
        <w:lang w:eastAsia="zh-CN"/>
      </w:rPr>
    </w:pPr>
    <w:r>
      <w:rPr>
        <w:rFonts w:hint="eastAsia"/>
        <w:lang w:eastAsia="zh-CN"/>
      </w:rPr>
      <w:tab/>
    </w:r>
    <w:r>
      <w:rPr>
        <w:rFonts w:hint="eastAsia"/>
        <w:lang w:eastAsia="zh-C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756" w:hanging="425"/>
        <w:jc w:val="right"/>
      </w:pPr>
      <w:rPr>
        <w:rFonts w:hint="default"/>
        <w:w w:val="99"/>
        <w:lang w:val="en-US" w:eastAsia="zh-CN" w:bidi="ar-SA"/>
      </w:rPr>
    </w:lvl>
    <w:lvl w:ilvl="1" w:tentative="0">
      <w:start w:val="0"/>
      <w:numFmt w:val="bullet"/>
      <w:lvlText w:val="•"/>
      <w:lvlJc w:val="left"/>
      <w:pPr>
        <w:ind w:left="1664" w:hanging="425"/>
      </w:pPr>
      <w:rPr>
        <w:rFonts w:hint="default"/>
        <w:lang w:val="en-US" w:eastAsia="zh-CN" w:bidi="ar-SA"/>
      </w:rPr>
    </w:lvl>
    <w:lvl w:ilvl="2" w:tentative="0">
      <w:start w:val="0"/>
      <w:numFmt w:val="bullet"/>
      <w:lvlText w:val="•"/>
      <w:lvlJc w:val="left"/>
      <w:pPr>
        <w:ind w:left="2569" w:hanging="425"/>
      </w:pPr>
      <w:rPr>
        <w:rFonts w:hint="default"/>
        <w:lang w:val="en-US" w:eastAsia="zh-CN" w:bidi="ar-SA"/>
      </w:rPr>
    </w:lvl>
    <w:lvl w:ilvl="3" w:tentative="0">
      <w:start w:val="0"/>
      <w:numFmt w:val="bullet"/>
      <w:lvlText w:val="•"/>
      <w:lvlJc w:val="left"/>
      <w:pPr>
        <w:ind w:left="3473" w:hanging="425"/>
      </w:pPr>
      <w:rPr>
        <w:rFonts w:hint="default"/>
        <w:lang w:val="en-US" w:eastAsia="zh-CN" w:bidi="ar-SA"/>
      </w:rPr>
    </w:lvl>
    <w:lvl w:ilvl="4" w:tentative="0">
      <w:start w:val="0"/>
      <w:numFmt w:val="bullet"/>
      <w:lvlText w:val="•"/>
      <w:lvlJc w:val="left"/>
      <w:pPr>
        <w:ind w:left="4378" w:hanging="425"/>
      </w:pPr>
      <w:rPr>
        <w:rFonts w:hint="default"/>
        <w:lang w:val="en-US" w:eastAsia="zh-CN" w:bidi="ar-SA"/>
      </w:rPr>
    </w:lvl>
    <w:lvl w:ilvl="5" w:tentative="0">
      <w:start w:val="0"/>
      <w:numFmt w:val="bullet"/>
      <w:lvlText w:val="•"/>
      <w:lvlJc w:val="left"/>
      <w:pPr>
        <w:ind w:left="5283" w:hanging="425"/>
      </w:pPr>
      <w:rPr>
        <w:rFonts w:hint="default"/>
        <w:lang w:val="en-US" w:eastAsia="zh-CN" w:bidi="ar-SA"/>
      </w:rPr>
    </w:lvl>
    <w:lvl w:ilvl="6" w:tentative="0">
      <w:start w:val="0"/>
      <w:numFmt w:val="bullet"/>
      <w:lvlText w:val="•"/>
      <w:lvlJc w:val="left"/>
      <w:pPr>
        <w:ind w:left="6187" w:hanging="425"/>
      </w:pPr>
      <w:rPr>
        <w:rFonts w:hint="default"/>
        <w:lang w:val="en-US" w:eastAsia="zh-CN" w:bidi="ar-SA"/>
      </w:rPr>
    </w:lvl>
    <w:lvl w:ilvl="7" w:tentative="0">
      <w:start w:val="0"/>
      <w:numFmt w:val="bullet"/>
      <w:lvlText w:val="•"/>
      <w:lvlJc w:val="left"/>
      <w:pPr>
        <w:ind w:left="7092" w:hanging="425"/>
      </w:pPr>
      <w:rPr>
        <w:rFonts w:hint="default"/>
        <w:lang w:val="en-US" w:eastAsia="zh-CN" w:bidi="ar-SA"/>
      </w:rPr>
    </w:lvl>
    <w:lvl w:ilvl="8" w:tentative="0">
      <w:start w:val="0"/>
      <w:numFmt w:val="bullet"/>
      <w:lvlText w:val="•"/>
      <w:lvlJc w:val="left"/>
      <w:pPr>
        <w:ind w:left="7996" w:hanging="425"/>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footnotePr>
    <w:footnote w:id="2"/>
    <w:footnote w:id="3"/>
  </w:footnotePr>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EA"/>
    <w:rsid w:val="0002117A"/>
    <w:rsid w:val="00421573"/>
    <w:rsid w:val="005A14A7"/>
    <w:rsid w:val="006F04EA"/>
    <w:rsid w:val="01FF7191"/>
    <w:rsid w:val="024D1597"/>
    <w:rsid w:val="03781630"/>
    <w:rsid w:val="075915FC"/>
    <w:rsid w:val="08E13F7A"/>
    <w:rsid w:val="09293C1C"/>
    <w:rsid w:val="096A7D53"/>
    <w:rsid w:val="0DFF65F5"/>
    <w:rsid w:val="0E8853C5"/>
    <w:rsid w:val="0F295A1A"/>
    <w:rsid w:val="13327431"/>
    <w:rsid w:val="14070EF0"/>
    <w:rsid w:val="15B05904"/>
    <w:rsid w:val="15EE5C25"/>
    <w:rsid w:val="16221D47"/>
    <w:rsid w:val="177B46E6"/>
    <w:rsid w:val="1C1512FE"/>
    <w:rsid w:val="1C586E05"/>
    <w:rsid w:val="1EF108E0"/>
    <w:rsid w:val="1F59656D"/>
    <w:rsid w:val="1F862CA2"/>
    <w:rsid w:val="226F02C6"/>
    <w:rsid w:val="26844273"/>
    <w:rsid w:val="280821E0"/>
    <w:rsid w:val="294820E3"/>
    <w:rsid w:val="2A962876"/>
    <w:rsid w:val="2F807692"/>
    <w:rsid w:val="33586178"/>
    <w:rsid w:val="35257596"/>
    <w:rsid w:val="3B9A0BAF"/>
    <w:rsid w:val="3D90400A"/>
    <w:rsid w:val="43EE160A"/>
    <w:rsid w:val="45681802"/>
    <w:rsid w:val="485269FD"/>
    <w:rsid w:val="4AF86681"/>
    <w:rsid w:val="4C2F3E42"/>
    <w:rsid w:val="51D57A6A"/>
    <w:rsid w:val="5214431E"/>
    <w:rsid w:val="523D4ECD"/>
    <w:rsid w:val="560F49CC"/>
    <w:rsid w:val="567A0093"/>
    <w:rsid w:val="59A66430"/>
    <w:rsid w:val="5AC838ED"/>
    <w:rsid w:val="5C5F2DBD"/>
    <w:rsid w:val="5D1B0113"/>
    <w:rsid w:val="5E255193"/>
    <w:rsid w:val="5F5F0972"/>
    <w:rsid w:val="633F31C2"/>
    <w:rsid w:val="66E330CE"/>
    <w:rsid w:val="67E635C4"/>
    <w:rsid w:val="6BD214E6"/>
    <w:rsid w:val="6BEB710C"/>
    <w:rsid w:val="71402B12"/>
    <w:rsid w:val="726202A8"/>
    <w:rsid w:val="74B4438E"/>
    <w:rsid w:val="76A7013B"/>
    <w:rsid w:val="79FC3DB8"/>
    <w:rsid w:val="7C137B0E"/>
    <w:rsid w:val="7DBA0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en-US" w:eastAsia="zh-CN" w:bidi="ar-SA"/>
    </w:rPr>
  </w:style>
  <w:style w:type="paragraph" w:styleId="3">
    <w:name w:val="footer"/>
    <w:basedOn w:val="1"/>
    <w:link w:val="42"/>
    <w:semiHidden/>
    <w:unhideWhenUsed/>
    <w:qFormat/>
    <w:uiPriority w:val="99"/>
    <w:pPr>
      <w:tabs>
        <w:tab w:val="center" w:pos="4153"/>
        <w:tab w:val="right" w:pos="8306"/>
      </w:tabs>
      <w:snapToGrid w:val="0"/>
    </w:pPr>
    <w:rPr>
      <w:sz w:val="18"/>
      <w:szCs w:val="18"/>
    </w:rPr>
  </w:style>
  <w:style w:type="paragraph" w:styleId="4">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semiHidden/>
    <w:unhideWhenUsed/>
    <w:qFormat/>
    <w:uiPriority w:val="99"/>
    <w:pPr>
      <w:snapToGrid w:val="0"/>
      <w:jc w:val="left"/>
    </w:pPr>
    <w:rPr>
      <w:rFonts w:ascii="Calibri" w:hAnsi="Calibri" w:eastAsia="宋体" w:cs="Times New Roman"/>
      <w:sz w:val="18"/>
      <w:szCs w:val="18"/>
    </w:r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page number"/>
    <w:basedOn w:val="8"/>
    <w:semiHidden/>
    <w:unhideWhenUsed/>
    <w:qFormat/>
    <w:uiPriority w:val="0"/>
  </w:style>
  <w:style w:type="character" w:styleId="10">
    <w:name w:val="footnote reference"/>
    <w:basedOn w:val="8"/>
    <w:semiHidden/>
    <w:unhideWhenUsed/>
    <w:qFormat/>
    <w:uiPriority w:val="99"/>
    <w:rPr>
      <w:vertAlign w:val="superscript"/>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a89edd8c-2764-4cb3-9920-3c7618fca246"/>
    <w:qFormat/>
    <w:uiPriority w:val="0"/>
    <w:rPr>
      <w:rFonts w:ascii="Times New Roman" w:hAnsi="Times New Roman" w:eastAsia="Times New Roman" w:cs="Times New Roman"/>
      <w:sz w:val="24"/>
      <w:szCs w:val="24"/>
      <w:lang w:val="en-US" w:eastAsia="uk-UA" w:bidi="ar-SA"/>
    </w:rPr>
  </w:style>
  <w:style w:type="paragraph" w:customStyle="1" w:styleId="29">
    <w:name w:val="单元格样式1_30a713d0-19dd-46ef-af72-ef306d606fd9"/>
    <w:basedOn w:val="1"/>
    <w:qFormat/>
    <w:uiPriority w:val="0"/>
    <w:pPr>
      <w:jc w:val="center"/>
    </w:pPr>
    <w:rPr>
      <w:rFonts w:ascii="方正书宋_GBK" w:hAnsi="方正书宋_GBK" w:eastAsia="方正书宋_GBK" w:cs="方正书宋_GBK"/>
      <w:b/>
      <w:sz w:val="21"/>
    </w:rPr>
  </w:style>
  <w:style w:type="paragraph" w:customStyle="1" w:styleId="30">
    <w:name w:val="单元格样式2_c0ded913-423b-4fb6-8c18-a6e739f6bd82"/>
    <w:basedOn w:val="1"/>
    <w:qFormat/>
    <w:uiPriority w:val="0"/>
    <w:rPr>
      <w:rFonts w:ascii="方正书宋_GBK" w:hAnsi="方正书宋_GBK" w:eastAsia="方正书宋_GBK" w:cs="方正书宋_GBK"/>
      <w:sz w:val="21"/>
    </w:rPr>
  </w:style>
  <w:style w:type="paragraph" w:customStyle="1" w:styleId="31">
    <w:name w:val="单元格样式3_f6e68905-c23e-4eec-ad3e-167eb3e79b0d"/>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7">
    <w:name w:val="TOC 2"/>
    <w:basedOn w:val="1"/>
    <w:qFormat/>
    <w:uiPriority w:val="0"/>
    <w:pPr>
      <w:ind w:left="240"/>
    </w:pPr>
  </w:style>
  <w:style w:type="paragraph" w:customStyle="1" w:styleId="38">
    <w:name w:val="TOC 3"/>
    <w:basedOn w:val="1"/>
    <w:qFormat/>
    <w:uiPriority w:val="0"/>
    <w:pPr>
      <w:ind w:left="480"/>
    </w:pPr>
  </w:style>
  <w:style w:type="paragraph" w:customStyle="1" w:styleId="39">
    <w:name w:val="TOC 4"/>
    <w:basedOn w:val="1"/>
    <w:qFormat/>
    <w:uiPriority w:val="0"/>
    <w:pPr>
      <w:ind w:left="720"/>
    </w:pPr>
  </w:style>
  <w:style w:type="paragraph" w:customStyle="1" w:styleId="40">
    <w:name w:val="TOC 1"/>
    <w:basedOn w:val="1"/>
    <w:qFormat/>
    <w:uiPriority w:val="0"/>
    <w:pPr>
      <w:spacing w:before="120"/>
      <w:ind w:firstLine="560"/>
    </w:pPr>
    <w:rPr>
      <w:rFonts w:eastAsia="方正仿宋_GBK"/>
      <w:color w:val="000000"/>
      <w:sz w:val="28"/>
    </w:rPr>
  </w:style>
  <w:style w:type="character" w:customStyle="1" w:styleId="41">
    <w:name w:val="页眉 Char"/>
    <w:basedOn w:val="8"/>
    <w:link w:val="4"/>
    <w:semiHidden/>
    <w:qFormat/>
    <w:uiPriority w:val="99"/>
    <w:rPr>
      <w:rFonts w:eastAsia="Times New Roman"/>
      <w:sz w:val="18"/>
      <w:szCs w:val="18"/>
      <w:lang w:eastAsia="uk-UA"/>
    </w:rPr>
  </w:style>
  <w:style w:type="character" w:customStyle="1" w:styleId="42">
    <w:name w:val="页脚 Char"/>
    <w:basedOn w:val="8"/>
    <w:link w:val="3"/>
    <w:semiHidden/>
    <w:qFormat/>
    <w:uiPriority w:val="99"/>
    <w:rPr>
      <w:rFonts w:eastAsia="Times New Roman"/>
      <w:sz w:val="18"/>
      <w:szCs w:val="18"/>
      <w:lang w:eastAsia="uk-UA"/>
    </w:rPr>
  </w:style>
  <w:style w:type="character" w:customStyle="1" w:styleId="43">
    <w:name w:val="不明显参考"/>
    <w:basedOn w:val="8"/>
    <w:qFormat/>
    <w:uiPriority w:val="1635"/>
    <w:rPr>
      <w:color w:val="C0504D"/>
      <w:u w:val="single"/>
    </w:rPr>
  </w:style>
  <w:style w:type="paragraph" w:customStyle="1" w:styleId="44">
    <w:name w:val="Body Text First Indent"/>
    <w:basedOn w:val="45"/>
    <w:qFormat/>
    <w:uiPriority w:val="6"/>
    <w:pPr>
      <w:spacing w:after="0"/>
      <w:ind w:firstLine="420"/>
    </w:pPr>
    <w:rPr>
      <w:rFonts w:ascii="Times New Roman" w:hAnsi="Times New Roman" w:eastAsia="Times New Roman"/>
    </w:rPr>
  </w:style>
  <w:style w:type="paragraph" w:customStyle="1" w:styleId="45">
    <w:name w:val="Body Text"/>
    <w:basedOn w:val="1"/>
    <w:qFormat/>
    <w:uiPriority w:val="6"/>
    <w:pPr>
      <w:spacing w:after="120"/>
    </w:pPr>
  </w:style>
  <w:style w:type="paragraph" w:styleId="46">
    <w:name w:val="List Paragraph"/>
    <w:basedOn w:val="1"/>
    <w:qFormat/>
    <w:uiPriority w:val="1"/>
    <w:pPr>
      <w:spacing w:before="19" w:line="575" w:lineRule="exact"/>
      <w:ind w:left="756" w:hanging="425"/>
    </w:pPr>
    <w:rPr>
      <w:rFonts w:ascii="微软雅黑" w:hAnsi="微软雅黑" w:eastAsia="微软雅黑" w:cs="微软雅黑"/>
      <w:lang w:val="en-US" w:eastAsia="zh-CN" w:bidi="ar-SA"/>
    </w:rPr>
  </w:style>
  <w:style w:type="paragraph" w:customStyle="1" w:styleId="47">
    <w:name w:val="Table Paragraph"/>
    <w:basedOn w:val="1"/>
    <w:qFormat/>
    <w:uiPriority w:val="1"/>
    <w:rPr>
      <w:rFonts w:ascii="宋体" w:hAnsi="宋体" w:eastAsia="宋体" w:cs="宋体"/>
      <w:lang w:val="en-US" w:eastAsia="zh-CN" w:bidi="ar-SA"/>
    </w:rPr>
  </w:style>
  <w:style w:type="paragraph" w:customStyle="1" w:styleId="48">
    <w:name w:val="目录 1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13.xml"/><Relationship Id="rId24" Type="http://schemas.openxmlformats.org/officeDocument/2006/relationships/customXml" Target="../customXml/item12.xml"/><Relationship Id="rId23" Type="http://schemas.openxmlformats.org/officeDocument/2006/relationships/customXml" Target="../customXml/item11.xml"/><Relationship Id="rId22" Type="http://schemas.openxmlformats.org/officeDocument/2006/relationships/customXml" Target="../customXml/item10.xml"/><Relationship Id="rId21" Type="http://schemas.openxmlformats.org/officeDocument/2006/relationships/customXml" Target="../customXml/item9.xml"/><Relationship Id="rId20" Type="http://schemas.openxmlformats.org/officeDocument/2006/relationships/customXml" Target="../customXml/item8.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2022-02-17T08:51:44Z</dcterms:created>
  <dcterms:modified xsi:type="dcterms:W3CDTF">2022-02-17T00:51:44Z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2022-02-17T08:51:36Z</dcterms:created>
  <dcterms:modified xsi:type="dcterms:W3CDTF">2022-02-17T00:51:36Z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2022-02-17T08:51:47Z</dcterms:created>
  <dcterms:modified xsi:type="dcterms:W3CDTF">2022-02-17T00:51:47Z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2022-02-17T08:51:42Z</dcterms:created>
  <dcterms:modified xsi:type="dcterms:W3CDTF">2022-02-17T00:51:41Z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2022-02-17T08:51:47Z</dcterms:created>
  <dcterms:modified xsi:type="dcterms:W3CDTF">2022-02-17T00:51:46Z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2022-02-17T08:51:38Z</dcterms:created>
  <dcterms:modified xsi:type="dcterms:W3CDTF">2022-02-17T00:51:38Z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1170956-4B93-4E33-810A-9CB781D9C1DA}">
  <ds:schemaRefs/>
</ds:datastoreItem>
</file>

<file path=customXml/itemProps11.xml><?xml version="1.0" encoding="utf-8"?>
<ds:datastoreItem xmlns:ds="http://schemas.openxmlformats.org/officeDocument/2006/customXml" ds:itemID="{470E2700-DB63-4C55-BA3E-00A00B0951AD}">
  <ds:schemaRefs/>
</ds:datastoreItem>
</file>

<file path=customXml/itemProps12.xml><?xml version="1.0" encoding="utf-8"?>
<ds:datastoreItem xmlns:ds="http://schemas.openxmlformats.org/officeDocument/2006/customXml" ds:itemID="{5E8E80C1-C6C2-49B5-B683-4D2ECB9F50AE}">
  <ds:schemaRefs/>
</ds:datastoreItem>
</file>

<file path=customXml/itemProps13.xml><?xml version="1.0" encoding="utf-8"?>
<ds:datastoreItem xmlns:ds="http://schemas.openxmlformats.org/officeDocument/2006/customXml" ds:itemID="{6BDA16F4-81CE-4020-8556-2E4A650E06BB}">
  <ds:schemaRefs/>
</ds:datastoreItem>
</file>

<file path=customXml/itemProps2.xml><?xml version="1.0" encoding="utf-8"?>
<ds:datastoreItem xmlns:ds="http://schemas.openxmlformats.org/officeDocument/2006/customXml" ds:itemID="{4ED15D7E-B421-4B51-A9F8-B98C8B89FCC0}">
  <ds:schemaRefs/>
</ds:datastoreItem>
</file>

<file path=customXml/itemProps3.xml><?xml version="1.0" encoding="utf-8"?>
<ds:datastoreItem xmlns:ds="http://schemas.openxmlformats.org/officeDocument/2006/customXml" ds:itemID="{96EAD8B0-46D1-4A4F-BAAB-2978EB6F421B}">
  <ds:schemaRefs/>
</ds:datastoreItem>
</file>

<file path=customXml/itemProps4.xml><?xml version="1.0" encoding="utf-8"?>
<ds:datastoreItem xmlns:ds="http://schemas.openxmlformats.org/officeDocument/2006/customXml" ds:itemID="{AB207572-62C4-439C-BCA5-147581F317A5}">
  <ds:schemaRefs/>
</ds:datastoreItem>
</file>

<file path=customXml/itemProps5.xml><?xml version="1.0" encoding="utf-8"?>
<ds:datastoreItem xmlns:ds="http://schemas.openxmlformats.org/officeDocument/2006/customXml" ds:itemID="{6A0F2166-EE17-46E3-8D61-737D622AAC8D}">
  <ds:schemaRefs/>
</ds:datastoreItem>
</file>

<file path=customXml/itemProps6.xml><?xml version="1.0" encoding="utf-8"?>
<ds:datastoreItem xmlns:ds="http://schemas.openxmlformats.org/officeDocument/2006/customXml" ds:itemID="{FAE5ADCC-9B75-4B4C-BF23-D34BE79AB800}">
  <ds:schemaRefs/>
</ds:datastoreItem>
</file>

<file path=customXml/itemProps7.xml><?xml version="1.0" encoding="utf-8"?>
<ds:datastoreItem xmlns:ds="http://schemas.openxmlformats.org/officeDocument/2006/customXml" ds:itemID="{3BCD099A-AF59-490E-8813-0039EF998FDB}">
  <ds:schemaRefs/>
</ds:datastoreItem>
</file>

<file path=customXml/itemProps8.xml><?xml version="1.0" encoding="utf-8"?>
<ds:datastoreItem xmlns:ds="http://schemas.openxmlformats.org/officeDocument/2006/customXml" ds:itemID="{C77C5DEA-DC09-4530-A263-6AFC972BB237}">
  <ds:schemaRefs/>
</ds:datastoreItem>
</file>

<file path=customXml/itemProps9.xml><?xml version="1.0" encoding="utf-8"?>
<ds:datastoreItem xmlns:ds="http://schemas.openxmlformats.org/officeDocument/2006/customXml" ds:itemID="{2C763267-689D-446F-9BB2-B94F2611A0C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4723</Words>
  <Characters>26922</Characters>
  <Lines>224</Lines>
  <Paragraphs>63</Paragraphs>
  <TotalTime>9</TotalTime>
  <ScaleCrop>false</ScaleCrop>
  <LinksUpToDate>false</LinksUpToDate>
  <CharactersWithSpaces>31582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2022-02-17T00:57:00Z</dcterms:created>
  <dc:creator>Administrator</dc:creator>
  <cp:lastModifiedBy>Administrator</cp:lastModifiedBy>
  <dcterms:modified xsi:type="dcterms:W3CDTF">2022-09-16T09:18:50Z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74165A3B0E224BFAA6E75A844B81063E</vt:lpwstr>
  </property>
</Properties>
</file>