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cs="黑体"/>
          <w:b/>
          <w:color w:val="000000"/>
          <w:sz w:val="44"/>
        </w:rPr>
      </w:pPr>
      <w:r>
        <w:rPr>
          <w:rFonts w:ascii="黑体" w:hAnsi="黑体" w:eastAsia="黑体" w:cs="黑体"/>
          <w:b/>
          <w:color w:val="000000"/>
          <w:sz w:val="44"/>
        </w:rPr>
        <w:t>2022年部门预算信息公开目录</w:t>
      </w:r>
    </w:p>
    <w:p>
      <w:pPr>
        <w:jc w:val="center"/>
        <w:outlineLvl w:val="0"/>
        <w:rPr>
          <w:rFonts w:ascii="黑体" w:hAnsi="黑体" w:eastAsia="黑体" w:cs="黑体"/>
          <w:b/>
          <w:color w:val="000000"/>
          <w:sz w:val="44"/>
        </w:rPr>
      </w:pPr>
    </w:p>
    <w:p>
      <w:pPr>
        <w:jc w:val="center"/>
      </w:pPr>
    </w:p>
    <w:p>
      <w:r>
        <w:rPr>
          <w:rFonts w:ascii="方正楷体_GBK" w:hAnsi="方正楷体_GBK" w:eastAsia="方正楷体_GBK" w:cs="方正楷体_GBK"/>
          <w:b/>
          <w:color w:val="000000"/>
          <w:sz w:val="28"/>
        </w:rPr>
        <w:t>部门预算公开表</w:t>
      </w:r>
    </w:p>
    <w:p>
      <w:pPr>
        <w:pStyle w:val="36"/>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6"/>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6"/>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6"/>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6"/>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6"/>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36"/>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36"/>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36"/>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6"/>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36"/>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6"/>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6"/>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6"/>
        <w:tabs>
          <w:tab w:val="right" w:leader="dot" w:pos="14562"/>
        </w:tabs>
        <w:sectPr>
          <w:footerReference r:id="rId3" w:type="default"/>
          <w:pgSz w:w="16840" w:h="11900" w:orient="landscape"/>
          <w:pgMar w:top="1361" w:right="1020" w:bottom="1134" w:left="1020" w:header="720" w:footer="720" w:gutter="0"/>
          <w:cols w:space="720" w:num="1"/>
        </w:sectPr>
      </w:pPr>
    </w:p>
    <w:p>
      <w:pPr>
        <w:pStyle w:val="36"/>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18</w:t>
      </w:r>
      <w:r>
        <w:fldChar w:fldCharType="end"/>
      </w:r>
      <w:r>
        <w:fldChar w:fldCharType="end"/>
      </w:r>
    </w:p>
    <w:p>
      <w:pPr>
        <w:pStyle w:val="36"/>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27</w:t>
      </w:r>
      <w:r>
        <w:fldChar w:fldCharType="end"/>
      </w:r>
      <w:r>
        <w:fldChar w:fldCharType="end"/>
      </w:r>
    </w:p>
    <w:p>
      <w:pPr>
        <w:pStyle w:val="36"/>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27</w:t>
      </w:r>
      <w:r>
        <w:fldChar w:fldCharType="end"/>
      </w:r>
      <w:r>
        <w:fldChar w:fldCharType="end"/>
      </w:r>
    </w:p>
    <w:p>
      <w:pPr>
        <w:pStyle w:val="36"/>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28</w:t>
      </w:r>
      <w:r>
        <w:fldChar w:fldCharType="end"/>
      </w:r>
      <w:r>
        <w:fldChar w:fldCharType="end"/>
      </w:r>
    </w:p>
    <w:p>
      <w:pPr>
        <w:pStyle w:val="36"/>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29</w:t>
      </w:r>
      <w:r>
        <w:fldChar w:fldCharType="end"/>
      </w:r>
      <w:r>
        <w:fldChar w:fldCharType="end"/>
      </w:r>
    </w:p>
    <w:p>
      <w:r>
        <w:fldChar w:fldCharType="end"/>
      </w:r>
    </w:p>
    <w:p>
      <w:pPr>
        <w:jc w:val="center"/>
      </w:pPr>
    </w:p>
    <w:p>
      <w:pPr>
        <w:jc w:val="center"/>
      </w:pPr>
    </w:p>
    <w:p>
      <w:pPr>
        <w:jc w:val="center"/>
      </w:pPr>
    </w:p>
    <w:p>
      <w:pPr>
        <w:jc w:val="center"/>
      </w:pPr>
    </w:p>
    <w:p>
      <w:pPr>
        <w:jc w:val="center"/>
      </w:pPr>
    </w:p>
    <w:p>
      <w:pPr>
        <w:jc w:val="center"/>
        <w:outlineLvl w:val="1"/>
        <w:rPr>
          <w:rFonts w:ascii="方正小标宋_GBK" w:hAnsi="方正小标宋_GBK" w:eastAsia="方正小标宋_GBK" w:cs="方正小标宋_GBK"/>
          <w:color w:val="000000"/>
          <w:sz w:val="36"/>
        </w:rPr>
      </w:pPr>
      <w:bookmarkStart w:id="0" w:name="_Toc_2_2_0000000001"/>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sectPr>
          <w:footerReference r:id="rId4" w:type="default"/>
          <w:footerReference r:id="rId5" w:type="even"/>
          <w:pgSz w:w="16840" w:h="11900" w:orient="landscape"/>
          <w:pgMar w:top="1361" w:right="1020" w:bottom="1134" w:left="1020" w:header="720" w:footer="720" w:gutter="0"/>
          <w:pgNumType w:start="1"/>
          <w:cols w:space="720" w:num="1"/>
        </w:sectPr>
      </w:pPr>
    </w:p>
    <w:p>
      <w:pPr>
        <w:jc w:val="center"/>
        <w:outlineLvl w:val="1"/>
        <w:rPr>
          <w:rFonts w:ascii="方正小标宋_GBK" w:hAnsi="方正小标宋_GBK" w:eastAsia="方正小标宋_GBK" w:cs="方正小标宋_GBK"/>
          <w:color w:val="000000"/>
          <w:sz w:val="36"/>
        </w:rPr>
      </w:pPr>
    </w:p>
    <w:p>
      <w:pPr>
        <w:jc w:val="center"/>
        <w:outlineLvl w:val="1"/>
      </w:pPr>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593承德市工业和信息化局</w:t>
            </w:r>
          </w:p>
        </w:tc>
        <w:tc>
          <w:tcPr>
            <w:tcW w:w="2126" w:type="dxa"/>
            <w:tcBorders>
              <w:top w:val="single" w:color="FFFFFF" w:sz="6" w:space="0"/>
              <w:left w:val="single" w:color="FFFFFF" w:sz="6" w:space="0"/>
              <w:right w:val="single" w:color="FFFFFF" w:sz="6" w:space="0"/>
            </w:tcBorders>
            <w:vAlign w:val="center"/>
          </w:tcPr>
          <w:p>
            <w:pPr>
              <w:pStyle w:val="8"/>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3152.95</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1405.75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64.61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r>
              <w:t>1602.15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80.44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三十一、往来性支出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3152.95</w:t>
            </w:r>
          </w:p>
        </w:tc>
        <w:tc>
          <w:tcPr>
            <w:tcW w:w="4535" w:type="dxa"/>
            <w:vAlign w:val="center"/>
          </w:tcPr>
          <w:p>
            <w:pPr>
              <w:pStyle w:val="14"/>
            </w:pPr>
            <w:r>
              <w:t>本年支出合计</w:t>
            </w:r>
          </w:p>
        </w:tc>
        <w:tc>
          <w:tcPr>
            <w:tcW w:w="2126" w:type="dxa"/>
            <w:vAlign w:val="center"/>
          </w:tcPr>
          <w:p>
            <w:pPr>
              <w:pStyle w:val="15"/>
            </w:pPr>
            <w:r>
              <w:t>3152.95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3152.95</w:t>
            </w:r>
          </w:p>
        </w:tc>
        <w:tc>
          <w:tcPr>
            <w:tcW w:w="4535" w:type="dxa"/>
            <w:vAlign w:val="center"/>
          </w:tcPr>
          <w:p>
            <w:pPr>
              <w:pStyle w:val="14"/>
            </w:pPr>
            <w:r>
              <w:t>支出总计</w:t>
            </w:r>
          </w:p>
        </w:tc>
        <w:tc>
          <w:tcPr>
            <w:tcW w:w="2126" w:type="dxa"/>
            <w:vAlign w:val="center"/>
          </w:tcPr>
          <w:p>
            <w:pPr>
              <w:pStyle w:val="15"/>
            </w:pPr>
            <w:r>
              <w:t>3152.95</w:t>
            </w:r>
          </w:p>
        </w:tc>
      </w:tr>
    </w:tbl>
    <w:p>
      <w:pPr>
        <w:sectPr>
          <w:footerReference r:id="rId6" w:type="default"/>
          <w:footerReference r:id="rId7"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593承德市工业和信息化局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3152.95</w:t>
            </w:r>
          </w:p>
        </w:tc>
        <w:tc>
          <w:tcPr>
            <w:tcW w:w="1134" w:type="dxa"/>
            <w:vAlign w:val="center"/>
          </w:tcPr>
          <w:p>
            <w:pPr>
              <w:pStyle w:val="15"/>
            </w:pPr>
            <w:r>
              <w:t>3152.95</w:t>
            </w:r>
          </w:p>
        </w:tc>
        <w:tc>
          <w:tcPr>
            <w:tcW w:w="1134" w:type="dxa"/>
            <w:vAlign w:val="center"/>
          </w:tcPr>
          <w:p>
            <w:pPr>
              <w:pStyle w:val="15"/>
            </w:pPr>
            <w:r>
              <w:t>3152.95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1405.75</w:t>
            </w:r>
          </w:p>
        </w:tc>
        <w:tc>
          <w:tcPr>
            <w:tcW w:w="1134" w:type="dxa"/>
            <w:vAlign w:val="center"/>
          </w:tcPr>
          <w:p>
            <w:pPr>
              <w:pStyle w:val="11"/>
            </w:pPr>
            <w:r>
              <w:t>1405.75</w:t>
            </w:r>
          </w:p>
        </w:tc>
        <w:tc>
          <w:tcPr>
            <w:tcW w:w="1134" w:type="dxa"/>
            <w:vAlign w:val="center"/>
          </w:tcPr>
          <w:p>
            <w:pPr>
              <w:pStyle w:val="11"/>
            </w:pPr>
            <w:r>
              <w:t>1405.75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1375.95</w:t>
            </w:r>
          </w:p>
        </w:tc>
        <w:tc>
          <w:tcPr>
            <w:tcW w:w="1134" w:type="dxa"/>
            <w:vAlign w:val="center"/>
          </w:tcPr>
          <w:p>
            <w:pPr>
              <w:pStyle w:val="11"/>
            </w:pPr>
            <w:r>
              <w:t>1375.95</w:t>
            </w:r>
          </w:p>
        </w:tc>
        <w:tc>
          <w:tcPr>
            <w:tcW w:w="1134" w:type="dxa"/>
            <w:vAlign w:val="center"/>
          </w:tcPr>
          <w:p>
            <w:pPr>
              <w:pStyle w:val="11"/>
            </w:pPr>
            <w:r>
              <w:t>1375.95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1268.70</w:t>
            </w:r>
          </w:p>
        </w:tc>
        <w:tc>
          <w:tcPr>
            <w:tcW w:w="1134" w:type="dxa"/>
            <w:vAlign w:val="center"/>
          </w:tcPr>
          <w:p>
            <w:pPr>
              <w:pStyle w:val="11"/>
            </w:pPr>
            <w:r>
              <w:t>1268.70</w:t>
            </w:r>
          </w:p>
        </w:tc>
        <w:tc>
          <w:tcPr>
            <w:tcW w:w="1134" w:type="dxa"/>
            <w:vAlign w:val="center"/>
          </w:tcPr>
          <w:p>
            <w:pPr>
              <w:pStyle w:val="11"/>
            </w:pPr>
            <w:r>
              <w:t>1268.70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107.25</w:t>
            </w:r>
          </w:p>
        </w:tc>
        <w:tc>
          <w:tcPr>
            <w:tcW w:w="1134" w:type="dxa"/>
            <w:vAlign w:val="center"/>
          </w:tcPr>
          <w:p>
            <w:pPr>
              <w:pStyle w:val="11"/>
            </w:pPr>
            <w:r>
              <w:t>107.25</w:t>
            </w:r>
          </w:p>
        </w:tc>
        <w:tc>
          <w:tcPr>
            <w:tcW w:w="1134" w:type="dxa"/>
            <w:vAlign w:val="center"/>
          </w:tcPr>
          <w:p>
            <w:pPr>
              <w:pStyle w:val="11"/>
            </w:pPr>
            <w:r>
              <w:t>107.25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20808</w:t>
            </w:r>
          </w:p>
        </w:tc>
        <w:tc>
          <w:tcPr>
            <w:tcW w:w="1559" w:type="dxa"/>
            <w:vAlign w:val="center"/>
          </w:tcPr>
          <w:p>
            <w:pPr>
              <w:pStyle w:val="12"/>
            </w:pPr>
            <w:r>
              <w:t>抚恤</w:t>
            </w:r>
          </w:p>
        </w:tc>
        <w:tc>
          <w:tcPr>
            <w:tcW w:w="1134" w:type="dxa"/>
            <w:vAlign w:val="center"/>
          </w:tcPr>
          <w:p>
            <w:pPr>
              <w:pStyle w:val="11"/>
            </w:pPr>
            <w:r>
              <w:t>29.80</w:t>
            </w:r>
          </w:p>
        </w:tc>
        <w:tc>
          <w:tcPr>
            <w:tcW w:w="1134" w:type="dxa"/>
            <w:vAlign w:val="center"/>
          </w:tcPr>
          <w:p>
            <w:pPr>
              <w:pStyle w:val="11"/>
            </w:pPr>
            <w:r>
              <w:t>29.80</w:t>
            </w:r>
          </w:p>
        </w:tc>
        <w:tc>
          <w:tcPr>
            <w:tcW w:w="1134" w:type="dxa"/>
            <w:vAlign w:val="center"/>
          </w:tcPr>
          <w:p>
            <w:pPr>
              <w:pStyle w:val="11"/>
            </w:pPr>
            <w:r>
              <w:t>29.80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2080801</w:t>
            </w:r>
          </w:p>
        </w:tc>
        <w:tc>
          <w:tcPr>
            <w:tcW w:w="1559" w:type="dxa"/>
            <w:vAlign w:val="center"/>
          </w:tcPr>
          <w:p>
            <w:pPr>
              <w:pStyle w:val="12"/>
            </w:pPr>
            <w:r>
              <w:t>死亡抚恤</w:t>
            </w:r>
          </w:p>
        </w:tc>
        <w:tc>
          <w:tcPr>
            <w:tcW w:w="1134" w:type="dxa"/>
            <w:vAlign w:val="center"/>
          </w:tcPr>
          <w:p>
            <w:pPr>
              <w:pStyle w:val="11"/>
            </w:pPr>
            <w:r>
              <w:t>17.56</w:t>
            </w:r>
          </w:p>
        </w:tc>
        <w:tc>
          <w:tcPr>
            <w:tcW w:w="1134" w:type="dxa"/>
            <w:vAlign w:val="center"/>
          </w:tcPr>
          <w:p>
            <w:pPr>
              <w:pStyle w:val="11"/>
            </w:pPr>
            <w:r>
              <w:t>17.56</w:t>
            </w:r>
          </w:p>
        </w:tc>
        <w:tc>
          <w:tcPr>
            <w:tcW w:w="1134" w:type="dxa"/>
            <w:vAlign w:val="center"/>
          </w:tcPr>
          <w:p>
            <w:pPr>
              <w:pStyle w:val="11"/>
            </w:pPr>
            <w:r>
              <w:t>17.56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2080802</w:t>
            </w:r>
          </w:p>
        </w:tc>
        <w:tc>
          <w:tcPr>
            <w:tcW w:w="1559" w:type="dxa"/>
            <w:vAlign w:val="center"/>
          </w:tcPr>
          <w:p>
            <w:pPr>
              <w:pStyle w:val="12"/>
            </w:pPr>
            <w:r>
              <w:t>伤残抚恤</w:t>
            </w:r>
          </w:p>
        </w:tc>
        <w:tc>
          <w:tcPr>
            <w:tcW w:w="1134" w:type="dxa"/>
            <w:vAlign w:val="center"/>
          </w:tcPr>
          <w:p>
            <w:pPr>
              <w:pStyle w:val="11"/>
            </w:pPr>
            <w:r>
              <w:t>12.24</w:t>
            </w:r>
          </w:p>
        </w:tc>
        <w:tc>
          <w:tcPr>
            <w:tcW w:w="1134" w:type="dxa"/>
            <w:vAlign w:val="center"/>
          </w:tcPr>
          <w:p>
            <w:pPr>
              <w:pStyle w:val="11"/>
            </w:pPr>
            <w:r>
              <w:t>12.24</w:t>
            </w:r>
          </w:p>
        </w:tc>
        <w:tc>
          <w:tcPr>
            <w:tcW w:w="1134" w:type="dxa"/>
            <w:vAlign w:val="center"/>
          </w:tcPr>
          <w:p>
            <w:pPr>
              <w:pStyle w:val="11"/>
            </w:pPr>
            <w:r>
              <w:t>12.24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64.61</w:t>
            </w:r>
          </w:p>
        </w:tc>
        <w:tc>
          <w:tcPr>
            <w:tcW w:w="1134" w:type="dxa"/>
            <w:vAlign w:val="center"/>
          </w:tcPr>
          <w:p>
            <w:pPr>
              <w:pStyle w:val="11"/>
            </w:pPr>
            <w:r>
              <w:t>64.61</w:t>
            </w:r>
          </w:p>
        </w:tc>
        <w:tc>
          <w:tcPr>
            <w:tcW w:w="1134" w:type="dxa"/>
            <w:vAlign w:val="center"/>
          </w:tcPr>
          <w:p>
            <w:pPr>
              <w:pStyle w:val="11"/>
            </w:pPr>
            <w:r>
              <w:t>64.61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64.61</w:t>
            </w:r>
          </w:p>
        </w:tc>
        <w:tc>
          <w:tcPr>
            <w:tcW w:w="1134" w:type="dxa"/>
            <w:vAlign w:val="center"/>
          </w:tcPr>
          <w:p>
            <w:pPr>
              <w:pStyle w:val="11"/>
            </w:pPr>
            <w:r>
              <w:t>64.61</w:t>
            </w:r>
          </w:p>
        </w:tc>
        <w:tc>
          <w:tcPr>
            <w:tcW w:w="1134" w:type="dxa"/>
            <w:vAlign w:val="center"/>
          </w:tcPr>
          <w:p>
            <w:pPr>
              <w:pStyle w:val="11"/>
            </w:pPr>
            <w:r>
              <w:t>64.61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57.91</w:t>
            </w:r>
          </w:p>
        </w:tc>
        <w:tc>
          <w:tcPr>
            <w:tcW w:w="1134" w:type="dxa"/>
            <w:vAlign w:val="center"/>
          </w:tcPr>
          <w:p>
            <w:pPr>
              <w:pStyle w:val="11"/>
            </w:pPr>
            <w:r>
              <w:t>57.91</w:t>
            </w:r>
          </w:p>
        </w:tc>
        <w:tc>
          <w:tcPr>
            <w:tcW w:w="1134" w:type="dxa"/>
            <w:vAlign w:val="center"/>
          </w:tcPr>
          <w:p>
            <w:pPr>
              <w:pStyle w:val="11"/>
            </w:pPr>
            <w:r>
              <w:t>57.91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6.70</w:t>
            </w:r>
          </w:p>
        </w:tc>
        <w:tc>
          <w:tcPr>
            <w:tcW w:w="1134" w:type="dxa"/>
            <w:vAlign w:val="center"/>
          </w:tcPr>
          <w:p>
            <w:pPr>
              <w:pStyle w:val="11"/>
            </w:pPr>
            <w:r>
              <w:t>6.70</w:t>
            </w:r>
          </w:p>
        </w:tc>
        <w:tc>
          <w:tcPr>
            <w:tcW w:w="1134" w:type="dxa"/>
            <w:vAlign w:val="center"/>
          </w:tcPr>
          <w:p>
            <w:pPr>
              <w:pStyle w:val="11"/>
            </w:pPr>
            <w:r>
              <w:t>6.70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215</w:t>
            </w:r>
          </w:p>
        </w:tc>
        <w:tc>
          <w:tcPr>
            <w:tcW w:w="1559" w:type="dxa"/>
            <w:vAlign w:val="center"/>
          </w:tcPr>
          <w:p>
            <w:pPr>
              <w:pStyle w:val="12"/>
            </w:pPr>
            <w:r>
              <w:t>资源勘探工业信息等支出</w:t>
            </w:r>
          </w:p>
        </w:tc>
        <w:tc>
          <w:tcPr>
            <w:tcW w:w="1134" w:type="dxa"/>
            <w:vAlign w:val="center"/>
          </w:tcPr>
          <w:p>
            <w:pPr>
              <w:pStyle w:val="11"/>
            </w:pPr>
            <w:r>
              <w:t>1602.15</w:t>
            </w:r>
          </w:p>
        </w:tc>
        <w:tc>
          <w:tcPr>
            <w:tcW w:w="1134" w:type="dxa"/>
            <w:vAlign w:val="center"/>
          </w:tcPr>
          <w:p>
            <w:pPr>
              <w:pStyle w:val="11"/>
            </w:pPr>
            <w:r>
              <w:t>1602.15</w:t>
            </w:r>
          </w:p>
        </w:tc>
        <w:tc>
          <w:tcPr>
            <w:tcW w:w="1134" w:type="dxa"/>
            <w:vAlign w:val="center"/>
          </w:tcPr>
          <w:p>
            <w:pPr>
              <w:pStyle w:val="11"/>
            </w:pPr>
            <w:r>
              <w:t>1602.15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21505</w:t>
            </w:r>
          </w:p>
        </w:tc>
        <w:tc>
          <w:tcPr>
            <w:tcW w:w="1559" w:type="dxa"/>
            <w:vAlign w:val="center"/>
          </w:tcPr>
          <w:p>
            <w:pPr>
              <w:pStyle w:val="12"/>
            </w:pPr>
            <w:r>
              <w:t>工业和信息产业监管</w:t>
            </w:r>
          </w:p>
        </w:tc>
        <w:tc>
          <w:tcPr>
            <w:tcW w:w="1134" w:type="dxa"/>
            <w:vAlign w:val="center"/>
          </w:tcPr>
          <w:p>
            <w:pPr>
              <w:pStyle w:val="11"/>
            </w:pPr>
            <w:r>
              <w:t>1602.15</w:t>
            </w:r>
          </w:p>
        </w:tc>
        <w:tc>
          <w:tcPr>
            <w:tcW w:w="1134" w:type="dxa"/>
            <w:vAlign w:val="center"/>
          </w:tcPr>
          <w:p>
            <w:pPr>
              <w:pStyle w:val="11"/>
            </w:pPr>
            <w:r>
              <w:t>1602.15</w:t>
            </w:r>
          </w:p>
        </w:tc>
        <w:tc>
          <w:tcPr>
            <w:tcW w:w="1134" w:type="dxa"/>
            <w:vAlign w:val="center"/>
          </w:tcPr>
          <w:p>
            <w:pPr>
              <w:pStyle w:val="11"/>
            </w:pPr>
            <w:r>
              <w:t>1602.15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2150501</w:t>
            </w:r>
          </w:p>
        </w:tc>
        <w:tc>
          <w:tcPr>
            <w:tcW w:w="1559" w:type="dxa"/>
            <w:vAlign w:val="center"/>
          </w:tcPr>
          <w:p>
            <w:pPr>
              <w:pStyle w:val="12"/>
            </w:pPr>
            <w:r>
              <w:t>行政运行</w:t>
            </w:r>
          </w:p>
        </w:tc>
        <w:tc>
          <w:tcPr>
            <w:tcW w:w="1134" w:type="dxa"/>
            <w:vAlign w:val="center"/>
          </w:tcPr>
          <w:p>
            <w:pPr>
              <w:pStyle w:val="11"/>
            </w:pPr>
            <w:r>
              <w:t>1107.15</w:t>
            </w:r>
          </w:p>
        </w:tc>
        <w:tc>
          <w:tcPr>
            <w:tcW w:w="1134" w:type="dxa"/>
            <w:vAlign w:val="center"/>
          </w:tcPr>
          <w:p>
            <w:pPr>
              <w:pStyle w:val="11"/>
            </w:pPr>
            <w:r>
              <w:t>1107.15</w:t>
            </w:r>
          </w:p>
        </w:tc>
        <w:tc>
          <w:tcPr>
            <w:tcW w:w="1134" w:type="dxa"/>
            <w:vAlign w:val="center"/>
          </w:tcPr>
          <w:p>
            <w:pPr>
              <w:pStyle w:val="11"/>
            </w:pPr>
            <w:r>
              <w:t>1107.15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2150517</w:t>
            </w:r>
          </w:p>
        </w:tc>
        <w:tc>
          <w:tcPr>
            <w:tcW w:w="1559" w:type="dxa"/>
            <w:vAlign w:val="center"/>
          </w:tcPr>
          <w:p>
            <w:pPr>
              <w:pStyle w:val="12"/>
            </w:pPr>
            <w:r>
              <w:t>产业发展</w:t>
            </w:r>
          </w:p>
        </w:tc>
        <w:tc>
          <w:tcPr>
            <w:tcW w:w="1134" w:type="dxa"/>
            <w:vAlign w:val="center"/>
          </w:tcPr>
          <w:p>
            <w:pPr>
              <w:pStyle w:val="11"/>
            </w:pPr>
            <w:r>
              <w:t>495.00</w:t>
            </w:r>
          </w:p>
        </w:tc>
        <w:tc>
          <w:tcPr>
            <w:tcW w:w="1134" w:type="dxa"/>
            <w:vAlign w:val="center"/>
          </w:tcPr>
          <w:p>
            <w:pPr>
              <w:pStyle w:val="11"/>
            </w:pPr>
            <w:r>
              <w:t>495.00</w:t>
            </w:r>
          </w:p>
        </w:tc>
        <w:tc>
          <w:tcPr>
            <w:tcW w:w="1134" w:type="dxa"/>
            <w:vAlign w:val="center"/>
          </w:tcPr>
          <w:p>
            <w:pPr>
              <w:pStyle w:val="11"/>
            </w:pPr>
            <w:r>
              <w:t>495.00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80.44</w:t>
            </w:r>
          </w:p>
        </w:tc>
        <w:tc>
          <w:tcPr>
            <w:tcW w:w="1134" w:type="dxa"/>
            <w:vAlign w:val="center"/>
          </w:tcPr>
          <w:p>
            <w:pPr>
              <w:pStyle w:val="11"/>
            </w:pPr>
            <w:r>
              <w:t>80.44</w:t>
            </w:r>
          </w:p>
        </w:tc>
        <w:tc>
          <w:tcPr>
            <w:tcW w:w="1134" w:type="dxa"/>
            <w:vAlign w:val="center"/>
          </w:tcPr>
          <w:p>
            <w:pPr>
              <w:pStyle w:val="11"/>
            </w:pPr>
            <w:r>
              <w:t>80.44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80.44</w:t>
            </w:r>
          </w:p>
        </w:tc>
        <w:tc>
          <w:tcPr>
            <w:tcW w:w="1134" w:type="dxa"/>
            <w:vAlign w:val="center"/>
          </w:tcPr>
          <w:p>
            <w:pPr>
              <w:pStyle w:val="11"/>
            </w:pPr>
            <w:r>
              <w:t>80.44</w:t>
            </w:r>
          </w:p>
        </w:tc>
        <w:tc>
          <w:tcPr>
            <w:tcW w:w="1134" w:type="dxa"/>
            <w:vAlign w:val="center"/>
          </w:tcPr>
          <w:p>
            <w:pPr>
              <w:pStyle w:val="11"/>
            </w:pPr>
            <w:r>
              <w:t>80.44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80.44</w:t>
            </w:r>
          </w:p>
        </w:tc>
        <w:tc>
          <w:tcPr>
            <w:tcW w:w="1134" w:type="dxa"/>
            <w:vAlign w:val="center"/>
          </w:tcPr>
          <w:p>
            <w:pPr>
              <w:pStyle w:val="11"/>
            </w:pPr>
            <w:r>
              <w:t>80.44</w:t>
            </w:r>
          </w:p>
        </w:tc>
        <w:tc>
          <w:tcPr>
            <w:tcW w:w="1134" w:type="dxa"/>
            <w:vAlign w:val="center"/>
          </w:tcPr>
          <w:p>
            <w:pPr>
              <w:pStyle w:val="11"/>
            </w:pPr>
            <w:r>
              <w:t>80.44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
    <w:p/>
    <w:p/>
    <w:p/>
    <w:p/>
    <w:p/>
    <w:p/>
    <w:p/>
    <w:p/>
    <w:p/>
    <w:p/>
    <w:p/>
    <w:p/>
    <w:p/>
    <w:p/>
    <w:p/>
    <w:p/>
    <w:p/>
    <w:p/>
    <w:p/>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1"/>
      </w:pPr>
      <w:r>
        <w:rPr>
          <w:rFonts w:ascii="方正小标宋_GBK" w:hAnsi="方正小标宋_GBK" w:eastAsia="方正小标宋_GBK" w:cs="方正小标宋_GBK"/>
          <w:color w:val="000000"/>
          <w:sz w:val="36"/>
        </w:rPr>
        <w:t>部门预算支出总表</w:t>
      </w:r>
    </w:p>
    <w:tbl>
      <w:tblPr>
        <w:tblStyle w:val="4"/>
        <w:tblpPr w:leftFromText="180" w:rightFromText="180" w:vertAnchor="text" w:horzAnchor="page" w:tblpX="1236" w:tblpY="457"/>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6378" w:type="dxa"/>
            <w:gridSpan w:val="3"/>
            <w:tcBorders>
              <w:top w:val="single" w:color="FFFFFF" w:sz="6" w:space="0"/>
              <w:left w:val="single" w:color="FFFFFF" w:sz="6" w:space="0"/>
              <w:right w:val="single" w:color="FFFFFF" w:sz="6" w:space="0"/>
            </w:tcBorders>
            <w:vAlign w:val="center"/>
          </w:tcPr>
          <w:p>
            <w:pPr>
              <w:pStyle w:val="9"/>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bookmarkStart w:id="2" w:name="_Toc_2_2_0000000003"/>
            <w:r>
              <w:rPr>
                <w:sz w:val="21"/>
                <w:szCs w:val="21"/>
              </w:rPr>
              <w:t>593承德市工业和信息化局</w:t>
            </w:r>
          </w:p>
        </w:tc>
        <w:tc>
          <w:tcPr>
            <w:tcW w:w="2722" w:type="dxa"/>
            <w:gridSpan w:val="2"/>
            <w:tcBorders>
              <w:top w:val="single" w:color="FFFFFF" w:sz="6" w:space="0"/>
              <w:left w:val="single" w:color="FFFFFF" w:sz="6" w:space="0"/>
              <w:right w:val="single" w:color="FFFFFF" w:sz="6" w:space="0"/>
            </w:tcBorders>
            <w:vAlign w:val="center"/>
          </w:tcPr>
          <w:p>
            <w:pPr>
              <w:pStyle w:val="8"/>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预算年度：2022</w:t>
            </w:r>
          </w:p>
        </w:tc>
        <w:tc>
          <w:tcPr>
            <w:tcW w:w="5444" w:type="dxa"/>
            <w:gridSpan w:val="4"/>
            <w:tcBorders>
              <w:top w:val="single" w:color="FFFFFF" w:sz="6" w:space="0"/>
              <w:left w:val="single" w:color="FFFFFF" w:sz="6" w:space="0"/>
              <w:right w:val="single" w:color="FFFFFF" w:sz="6" w:space="0"/>
            </w:tcBorders>
            <w:vAlign w:val="center"/>
          </w:tcPr>
          <w:p>
            <w:pPr>
              <w:pStyle w:val="7"/>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50" w:type="dxa"/>
            <w:vMerge w:val="restart"/>
            <w:vAlign w:val="center"/>
          </w:tcPr>
          <w:p>
            <w:pPr>
              <w:pStyle w:val="10"/>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序号</w:t>
            </w:r>
          </w:p>
        </w:tc>
        <w:tc>
          <w:tcPr>
            <w:tcW w:w="5528" w:type="dxa"/>
            <w:gridSpan w:val="2"/>
            <w:vAlign w:val="center"/>
          </w:tcPr>
          <w:p>
            <w:pPr>
              <w:pStyle w:val="10"/>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功能分类科目</w:t>
            </w:r>
          </w:p>
        </w:tc>
        <w:tc>
          <w:tcPr>
            <w:tcW w:w="1361" w:type="dxa"/>
            <w:vMerge w:val="restart"/>
            <w:vAlign w:val="center"/>
          </w:tcPr>
          <w:p>
            <w:pPr>
              <w:pStyle w:val="10"/>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合计</w:t>
            </w:r>
          </w:p>
        </w:tc>
        <w:tc>
          <w:tcPr>
            <w:tcW w:w="1361" w:type="dxa"/>
            <w:vMerge w:val="restart"/>
            <w:vAlign w:val="center"/>
          </w:tcPr>
          <w:p>
            <w:pPr>
              <w:pStyle w:val="10"/>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基本支出</w:t>
            </w:r>
          </w:p>
        </w:tc>
        <w:tc>
          <w:tcPr>
            <w:tcW w:w="1361" w:type="dxa"/>
            <w:vMerge w:val="restart"/>
            <w:vAlign w:val="center"/>
          </w:tcPr>
          <w:p>
            <w:pPr>
              <w:pStyle w:val="10"/>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项目支出</w:t>
            </w:r>
          </w:p>
        </w:tc>
        <w:tc>
          <w:tcPr>
            <w:tcW w:w="1361" w:type="dxa"/>
            <w:vMerge w:val="restart"/>
            <w:vAlign w:val="center"/>
          </w:tcPr>
          <w:p>
            <w:pPr>
              <w:pStyle w:val="10"/>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经营支出</w:t>
            </w:r>
          </w:p>
        </w:tc>
        <w:tc>
          <w:tcPr>
            <w:tcW w:w="1361" w:type="dxa"/>
            <w:vMerge w:val="restart"/>
            <w:vAlign w:val="center"/>
          </w:tcPr>
          <w:p>
            <w:pPr>
              <w:pStyle w:val="10"/>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上解上级     支出</w:t>
            </w:r>
          </w:p>
        </w:tc>
        <w:tc>
          <w:tcPr>
            <w:tcW w:w="1361" w:type="dxa"/>
            <w:vMerge w:val="restart"/>
            <w:vAlign w:val="center"/>
          </w:tcPr>
          <w:p>
            <w:pPr>
              <w:pStyle w:val="10"/>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50" w:type="dxa"/>
            <w:vMerge w:val="continue"/>
          </w:tcPr>
          <w:p>
            <w:pPr>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c>
          <w:tcPr>
            <w:tcW w:w="992" w:type="dxa"/>
            <w:vAlign w:val="center"/>
          </w:tcPr>
          <w:p>
            <w:pPr>
              <w:pStyle w:val="10"/>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科目    编码</w:t>
            </w:r>
          </w:p>
        </w:tc>
        <w:tc>
          <w:tcPr>
            <w:tcW w:w="4536" w:type="dxa"/>
            <w:vAlign w:val="center"/>
          </w:tcPr>
          <w:p>
            <w:pPr>
              <w:pStyle w:val="10"/>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科目名称</w:t>
            </w:r>
          </w:p>
        </w:tc>
        <w:tc>
          <w:tcPr>
            <w:tcW w:w="1361" w:type="dxa"/>
            <w:vMerge w:val="continue"/>
          </w:tcPr>
          <w:p>
            <w:pPr>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c>
          <w:tcPr>
            <w:tcW w:w="1361" w:type="dxa"/>
            <w:vMerge w:val="continue"/>
          </w:tcPr>
          <w:p>
            <w:pPr>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c>
          <w:tcPr>
            <w:tcW w:w="1361" w:type="dxa"/>
            <w:vMerge w:val="continue"/>
          </w:tcPr>
          <w:p>
            <w:pPr>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c>
          <w:tcPr>
            <w:tcW w:w="1361" w:type="dxa"/>
            <w:vMerge w:val="continue"/>
          </w:tcPr>
          <w:p>
            <w:pPr>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c>
          <w:tcPr>
            <w:tcW w:w="1361" w:type="dxa"/>
            <w:vMerge w:val="continue"/>
          </w:tcPr>
          <w:p>
            <w:pPr>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c>
          <w:tcPr>
            <w:tcW w:w="1361" w:type="dxa"/>
            <w:vMerge w:val="continue"/>
          </w:tcPr>
          <w:p>
            <w:pPr>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850" w:type="dxa"/>
            <w:vAlign w:val="center"/>
          </w:tcPr>
          <w:p>
            <w:pPr>
              <w:pStyle w:val="10"/>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栏次</w:t>
            </w:r>
          </w:p>
        </w:tc>
        <w:tc>
          <w:tcPr>
            <w:tcW w:w="992" w:type="dxa"/>
            <w:vAlign w:val="center"/>
          </w:tcPr>
          <w:p>
            <w:pPr>
              <w:pStyle w:val="10"/>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1</w:t>
            </w:r>
          </w:p>
        </w:tc>
        <w:tc>
          <w:tcPr>
            <w:tcW w:w="4536" w:type="dxa"/>
            <w:vAlign w:val="center"/>
          </w:tcPr>
          <w:p>
            <w:pPr>
              <w:pStyle w:val="10"/>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2</w:t>
            </w:r>
          </w:p>
        </w:tc>
        <w:tc>
          <w:tcPr>
            <w:tcW w:w="1361" w:type="dxa"/>
            <w:vAlign w:val="center"/>
          </w:tcPr>
          <w:p>
            <w:pPr>
              <w:pStyle w:val="10"/>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3</w:t>
            </w:r>
          </w:p>
        </w:tc>
        <w:tc>
          <w:tcPr>
            <w:tcW w:w="1361" w:type="dxa"/>
            <w:vAlign w:val="center"/>
          </w:tcPr>
          <w:p>
            <w:pPr>
              <w:pStyle w:val="10"/>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4</w:t>
            </w:r>
          </w:p>
        </w:tc>
        <w:tc>
          <w:tcPr>
            <w:tcW w:w="1361" w:type="dxa"/>
            <w:vAlign w:val="center"/>
          </w:tcPr>
          <w:p>
            <w:pPr>
              <w:pStyle w:val="10"/>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5</w:t>
            </w:r>
          </w:p>
        </w:tc>
        <w:tc>
          <w:tcPr>
            <w:tcW w:w="1361" w:type="dxa"/>
            <w:vAlign w:val="center"/>
          </w:tcPr>
          <w:p>
            <w:pPr>
              <w:pStyle w:val="10"/>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6</w:t>
            </w:r>
          </w:p>
        </w:tc>
        <w:tc>
          <w:tcPr>
            <w:tcW w:w="1361" w:type="dxa"/>
            <w:vAlign w:val="center"/>
          </w:tcPr>
          <w:p>
            <w:pPr>
              <w:pStyle w:val="10"/>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7</w:t>
            </w:r>
          </w:p>
        </w:tc>
        <w:tc>
          <w:tcPr>
            <w:tcW w:w="1361" w:type="dxa"/>
            <w:vAlign w:val="center"/>
          </w:tcPr>
          <w:p>
            <w:pPr>
              <w:pStyle w:val="10"/>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1</w:t>
            </w:r>
          </w:p>
        </w:tc>
        <w:tc>
          <w:tcPr>
            <w:tcW w:w="992" w:type="dxa"/>
            <w:vAlign w:val="center"/>
          </w:tcPr>
          <w:p>
            <w:pPr>
              <w:pStyle w:val="16"/>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c>
          <w:tcPr>
            <w:tcW w:w="4536" w:type="dxa"/>
            <w:vAlign w:val="center"/>
          </w:tcPr>
          <w:p>
            <w:pPr>
              <w:pStyle w:val="14"/>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合计</w:t>
            </w: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3152.95</w:t>
            </w: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2657.95</w:t>
            </w: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495.00</w:t>
            </w: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c>
          <w:tcPr>
            <w:tcW w:w="1361" w:type="dxa"/>
            <w:vAlign w:val="center"/>
          </w:tcPr>
          <w:p>
            <w:pPr>
              <w:pStyle w:val="15"/>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2</w:t>
            </w:r>
          </w:p>
        </w:tc>
        <w:tc>
          <w:tcPr>
            <w:tcW w:w="992" w:type="dxa"/>
            <w:vAlign w:val="center"/>
          </w:tcPr>
          <w:p>
            <w:pPr>
              <w:pStyle w:val="12"/>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208</w:t>
            </w:r>
          </w:p>
        </w:tc>
        <w:tc>
          <w:tcPr>
            <w:tcW w:w="4536" w:type="dxa"/>
            <w:vAlign w:val="center"/>
          </w:tcPr>
          <w:p>
            <w:pPr>
              <w:pStyle w:val="12"/>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社会保障和就业支出</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1405.75</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1405.75</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3</w:t>
            </w:r>
          </w:p>
        </w:tc>
        <w:tc>
          <w:tcPr>
            <w:tcW w:w="992" w:type="dxa"/>
            <w:vAlign w:val="center"/>
          </w:tcPr>
          <w:p>
            <w:pPr>
              <w:pStyle w:val="12"/>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20805</w:t>
            </w:r>
          </w:p>
        </w:tc>
        <w:tc>
          <w:tcPr>
            <w:tcW w:w="4536" w:type="dxa"/>
            <w:vAlign w:val="center"/>
          </w:tcPr>
          <w:p>
            <w:pPr>
              <w:pStyle w:val="12"/>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行政事业单位养老支出</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1375.95</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1375.95</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4</w:t>
            </w:r>
          </w:p>
        </w:tc>
        <w:tc>
          <w:tcPr>
            <w:tcW w:w="992" w:type="dxa"/>
            <w:vAlign w:val="center"/>
          </w:tcPr>
          <w:p>
            <w:pPr>
              <w:pStyle w:val="12"/>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2080501</w:t>
            </w:r>
          </w:p>
        </w:tc>
        <w:tc>
          <w:tcPr>
            <w:tcW w:w="4536" w:type="dxa"/>
            <w:vAlign w:val="center"/>
          </w:tcPr>
          <w:p>
            <w:pPr>
              <w:pStyle w:val="12"/>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行政单位离退休</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1268.70</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1268.70</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5</w:t>
            </w:r>
          </w:p>
        </w:tc>
        <w:tc>
          <w:tcPr>
            <w:tcW w:w="992" w:type="dxa"/>
            <w:vAlign w:val="center"/>
          </w:tcPr>
          <w:p>
            <w:pPr>
              <w:pStyle w:val="12"/>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2080505</w:t>
            </w:r>
          </w:p>
        </w:tc>
        <w:tc>
          <w:tcPr>
            <w:tcW w:w="4536" w:type="dxa"/>
            <w:vAlign w:val="center"/>
          </w:tcPr>
          <w:p>
            <w:pPr>
              <w:pStyle w:val="12"/>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机关事业单位基本养老保险缴费支出</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107.25</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107.25</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6</w:t>
            </w:r>
          </w:p>
        </w:tc>
        <w:tc>
          <w:tcPr>
            <w:tcW w:w="992" w:type="dxa"/>
            <w:vAlign w:val="center"/>
          </w:tcPr>
          <w:p>
            <w:pPr>
              <w:pStyle w:val="12"/>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20808</w:t>
            </w:r>
          </w:p>
        </w:tc>
        <w:tc>
          <w:tcPr>
            <w:tcW w:w="4536" w:type="dxa"/>
            <w:vAlign w:val="center"/>
          </w:tcPr>
          <w:p>
            <w:pPr>
              <w:pStyle w:val="12"/>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抚恤</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29.80</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29.80</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7</w:t>
            </w:r>
          </w:p>
        </w:tc>
        <w:tc>
          <w:tcPr>
            <w:tcW w:w="992" w:type="dxa"/>
            <w:vAlign w:val="center"/>
          </w:tcPr>
          <w:p>
            <w:pPr>
              <w:pStyle w:val="12"/>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2080801</w:t>
            </w:r>
          </w:p>
        </w:tc>
        <w:tc>
          <w:tcPr>
            <w:tcW w:w="4536" w:type="dxa"/>
            <w:vAlign w:val="center"/>
          </w:tcPr>
          <w:p>
            <w:pPr>
              <w:pStyle w:val="12"/>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死亡抚恤</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17.56</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17.56</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8</w:t>
            </w:r>
          </w:p>
        </w:tc>
        <w:tc>
          <w:tcPr>
            <w:tcW w:w="992" w:type="dxa"/>
            <w:vAlign w:val="center"/>
          </w:tcPr>
          <w:p>
            <w:pPr>
              <w:pStyle w:val="12"/>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2080802</w:t>
            </w:r>
          </w:p>
        </w:tc>
        <w:tc>
          <w:tcPr>
            <w:tcW w:w="4536" w:type="dxa"/>
            <w:vAlign w:val="center"/>
          </w:tcPr>
          <w:p>
            <w:pPr>
              <w:pStyle w:val="12"/>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伤残抚恤</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12.24</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12.24</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9</w:t>
            </w:r>
          </w:p>
        </w:tc>
        <w:tc>
          <w:tcPr>
            <w:tcW w:w="992" w:type="dxa"/>
            <w:vAlign w:val="center"/>
          </w:tcPr>
          <w:p>
            <w:pPr>
              <w:pStyle w:val="12"/>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210</w:t>
            </w:r>
          </w:p>
        </w:tc>
        <w:tc>
          <w:tcPr>
            <w:tcW w:w="4536" w:type="dxa"/>
            <w:vAlign w:val="center"/>
          </w:tcPr>
          <w:p>
            <w:pPr>
              <w:pStyle w:val="12"/>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卫生健康支出</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64.61</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64.61</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10</w:t>
            </w:r>
          </w:p>
        </w:tc>
        <w:tc>
          <w:tcPr>
            <w:tcW w:w="992" w:type="dxa"/>
            <w:vAlign w:val="center"/>
          </w:tcPr>
          <w:p>
            <w:pPr>
              <w:pStyle w:val="12"/>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21011</w:t>
            </w:r>
          </w:p>
        </w:tc>
        <w:tc>
          <w:tcPr>
            <w:tcW w:w="4536" w:type="dxa"/>
            <w:vAlign w:val="center"/>
          </w:tcPr>
          <w:p>
            <w:pPr>
              <w:pStyle w:val="12"/>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行政事业单位医疗</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64.61</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64.61</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11</w:t>
            </w:r>
          </w:p>
        </w:tc>
        <w:tc>
          <w:tcPr>
            <w:tcW w:w="992" w:type="dxa"/>
            <w:vAlign w:val="center"/>
          </w:tcPr>
          <w:p>
            <w:pPr>
              <w:pStyle w:val="12"/>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2101101</w:t>
            </w:r>
          </w:p>
        </w:tc>
        <w:tc>
          <w:tcPr>
            <w:tcW w:w="4536" w:type="dxa"/>
            <w:vAlign w:val="center"/>
          </w:tcPr>
          <w:p>
            <w:pPr>
              <w:pStyle w:val="12"/>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行政单位医疗</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57.91</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57.91</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12</w:t>
            </w:r>
          </w:p>
        </w:tc>
        <w:tc>
          <w:tcPr>
            <w:tcW w:w="992" w:type="dxa"/>
            <w:vAlign w:val="center"/>
          </w:tcPr>
          <w:p>
            <w:pPr>
              <w:pStyle w:val="12"/>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2101103</w:t>
            </w:r>
          </w:p>
        </w:tc>
        <w:tc>
          <w:tcPr>
            <w:tcW w:w="4536" w:type="dxa"/>
            <w:vAlign w:val="center"/>
          </w:tcPr>
          <w:p>
            <w:pPr>
              <w:pStyle w:val="12"/>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公务员医疗补助</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6.70</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6.70</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13</w:t>
            </w:r>
          </w:p>
        </w:tc>
        <w:tc>
          <w:tcPr>
            <w:tcW w:w="992" w:type="dxa"/>
            <w:vAlign w:val="center"/>
          </w:tcPr>
          <w:p>
            <w:pPr>
              <w:pStyle w:val="12"/>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215</w:t>
            </w:r>
          </w:p>
        </w:tc>
        <w:tc>
          <w:tcPr>
            <w:tcW w:w="4536" w:type="dxa"/>
            <w:vAlign w:val="center"/>
          </w:tcPr>
          <w:p>
            <w:pPr>
              <w:pStyle w:val="12"/>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资源勘探工业信息等支出</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1602.15</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1107.15</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495.00</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14</w:t>
            </w:r>
          </w:p>
        </w:tc>
        <w:tc>
          <w:tcPr>
            <w:tcW w:w="992" w:type="dxa"/>
            <w:vAlign w:val="center"/>
          </w:tcPr>
          <w:p>
            <w:pPr>
              <w:pStyle w:val="12"/>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21505</w:t>
            </w:r>
          </w:p>
        </w:tc>
        <w:tc>
          <w:tcPr>
            <w:tcW w:w="4536" w:type="dxa"/>
            <w:vAlign w:val="center"/>
          </w:tcPr>
          <w:p>
            <w:pPr>
              <w:pStyle w:val="12"/>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工业和信息产业监管</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1602.15</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1107.15</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495.00</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15</w:t>
            </w:r>
          </w:p>
        </w:tc>
        <w:tc>
          <w:tcPr>
            <w:tcW w:w="992" w:type="dxa"/>
            <w:vAlign w:val="center"/>
          </w:tcPr>
          <w:p>
            <w:pPr>
              <w:pStyle w:val="12"/>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2150501</w:t>
            </w:r>
          </w:p>
        </w:tc>
        <w:tc>
          <w:tcPr>
            <w:tcW w:w="4536" w:type="dxa"/>
            <w:vAlign w:val="center"/>
          </w:tcPr>
          <w:p>
            <w:pPr>
              <w:pStyle w:val="12"/>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行政运行</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1107.15</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1107.15</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16</w:t>
            </w:r>
          </w:p>
        </w:tc>
        <w:tc>
          <w:tcPr>
            <w:tcW w:w="992" w:type="dxa"/>
            <w:vAlign w:val="center"/>
          </w:tcPr>
          <w:p>
            <w:pPr>
              <w:pStyle w:val="12"/>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2150517</w:t>
            </w:r>
          </w:p>
        </w:tc>
        <w:tc>
          <w:tcPr>
            <w:tcW w:w="4536" w:type="dxa"/>
            <w:vAlign w:val="center"/>
          </w:tcPr>
          <w:p>
            <w:pPr>
              <w:pStyle w:val="12"/>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产业发展</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495.00</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495.00</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17</w:t>
            </w:r>
          </w:p>
        </w:tc>
        <w:tc>
          <w:tcPr>
            <w:tcW w:w="992" w:type="dxa"/>
            <w:vAlign w:val="center"/>
          </w:tcPr>
          <w:p>
            <w:pPr>
              <w:pStyle w:val="12"/>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221</w:t>
            </w:r>
          </w:p>
        </w:tc>
        <w:tc>
          <w:tcPr>
            <w:tcW w:w="4536" w:type="dxa"/>
            <w:vAlign w:val="center"/>
          </w:tcPr>
          <w:p>
            <w:pPr>
              <w:pStyle w:val="12"/>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住房保障支出</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80.44</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80.44</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18</w:t>
            </w:r>
          </w:p>
        </w:tc>
        <w:tc>
          <w:tcPr>
            <w:tcW w:w="992" w:type="dxa"/>
            <w:vAlign w:val="center"/>
          </w:tcPr>
          <w:p>
            <w:pPr>
              <w:pStyle w:val="12"/>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22102</w:t>
            </w:r>
          </w:p>
        </w:tc>
        <w:tc>
          <w:tcPr>
            <w:tcW w:w="4536" w:type="dxa"/>
            <w:vAlign w:val="center"/>
          </w:tcPr>
          <w:p>
            <w:pPr>
              <w:pStyle w:val="12"/>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住房改革支出</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80.44</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80.44</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850" w:type="dxa"/>
            <w:vAlign w:val="center"/>
          </w:tcPr>
          <w:p>
            <w:pPr>
              <w:pStyle w:val="13"/>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19</w:t>
            </w:r>
          </w:p>
        </w:tc>
        <w:tc>
          <w:tcPr>
            <w:tcW w:w="992" w:type="dxa"/>
            <w:vAlign w:val="center"/>
          </w:tcPr>
          <w:p>
            <w:pPr>
              <w:pStyle w:val="12"/>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2210201</w:t>
            </w:r>
          </w:p>
        </w:tc>
        <w:tc>
          <w:tcPr>
            <w:tcW w:w="4536" w:type="dxa"/>
            <w:vAlign w:val="center"/>
          </w:tcPr>
          <w:p>
            <w:pPr>
              <w:pStyle w:val="12"/>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住房公积金</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80.44</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r>
              <w:rPr>
                <w:sz w:val="21"/>
                <w:szCs w:val="21"/>
              </w:rPr>
              <w:t>80.44</w:t>
            </w: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c>
          <w:tcPr>
            <w:tcW w:w="1361" w:type="dxa"/>
            <w:vAlign w:val="center"/>
          </w:tcPr>
          <w:p>
            <w:pPr>
              <w:pStyle w:val="11"/>
              <w:keepNext w:val="0"/>
              <w:keepLines w:val="0"/>
              <w:pageBreakBefore w:val="0"/>
              <w:widowControl/>
              <w:kinsoku/>
              <w:wordWrap/>
              <w:overflowPunct/>
              <w:topLinePunct w:val="0"/>
              <w:autoSpaceDE/>
              <w:autoSpaceDN/>
              <w:bidi w:val="0"/>
              <w:adjustRightInd/>
              <w:snapToGrid/>
              <w:spacing w:line="240" w:lineRule="auto"/>
              <w:textAlignment w:val="auto"/>
              <w:rPr>
                <w:sz w:val="21"/>
                <w:szCs w:val="21"/>
              </w:rPr>
            </w:pPr>
          </w:p>
        </w:tc>
      </w:tr>
      <w:bookmarkEnd w:id="2"/>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593承德市工业和信息化局</w:t>
            </w:r>
          </w:p>
        </w:tc>
        <w:tc>
          <w:tcPr>
            <w:tcW w:w="3402" w:type="dxa"/>
            <w:tcBorders>
              <w:top w:val="single" w:color="FFFFFF" w:sz="6" w:space="0"/>
              <w:left w:val="single" w:color="FFFFFF" w:sz="6" w:space="0"/>
              <w:right w:val="single" w:color="FFFFFF" w:sz="6" w:space="0"/>
            </w:tcBorders>
            <w:vAlign w:val="center"/>
          </w:tcPr>
          <w:p>
            <w:pPr>
              <w:pStyle w:val="8"/>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3152.95</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1405.75</w:t>
            </w:r>
          </w:p>
        </w:tc>
        <w:tc>
          <w:tcPr>
            <w:tcW w:w="1474" w:type="dxa"/>
            <w:vAlign w:val="center"/>
          </w:tcPr>
          <w:p>
            <w:pPr>
              <w:pStyle w:val="11"/>
            </w:pPr>
            <w:r>
              <w:t>1405.75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64.61</w:t>
            </w:r>
          </w:p>
        </w:tc>
        <w:tc>
          <w:tcPr>
            <w:tcW w:w="1474" w:type="dxa"/>
            <w:vAlign w:val="center"/>
          </w:tcPr>
          <w:p>
            <w:pPr>
              <w:pStyle w:val="11"/>
            </w:pPr>
            <w:r>
              <w:t>64.61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r>
              <w:t>1602.15</w:t>
            </w:r>
          </w:p>
        </w:tc>
        <w:tc>
          <w:tcPr>
            <w:tcW w:w="1474" w:type="dxa"/>
            <w:vAlign w:val="center"/>
          </w:tcPr>
          <w:p>
            <w:pPr>
              <w:pStyle w:val="11"/>
            </w:pPr>
            <w:r>
              <w:t>1602.15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80.44</w:t>
            </w:r>
          </w:p>
        </w:tc>
        <w:tc>
          <w:tcPr>
            <w:tcW w:w="1474" w:type="dxa"/>
            <w:vAlign w:val="center"/>
          </w:tcPr>
          <w:p>
            <w:pPr>
              <w:pStyle w:val="11"/>
            </w:pPr>
            <w:r>
              <w:t>80.44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三十一、往来性支出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3152.95</w:t>
            </w:r>
          </w:p>
        </w:tc>
        <w:tc>
          <w:tcPr>
            <w:tcW w:w="3402" w:type="dxa"/>
            <w:vAlign w:val="center"/>
          </w:tcPr>
          <w:p>
            <w:pPr>
              <w:pStyle w:val="14"/>
            </w:pPr>
            <w:r>
              <w:t>本年支出合计</w:t>
            </w:r>
          </w:p>
        </w:tc>
        <w:tc>
          <w:tcPr>
            <w:tcW w:w="1474" w:type="dxa"/>
            <w:vAlign w:val="center"/>
          </w:tcPr>
          <w:p>
            <w:pPr>
              <w:pStyle w:val="15"/>
            </w:pPr>
            <w:r>
              <w:t>3152.95</w:t>
            </w:r>
          </w:p>
        </w:tc>
        <w:tc>
          <w:tcPr>
            <w:tcW w:w="1474" w:type="dxa"/>
            <w:vAlign w:val="center"/>
          </w:tcPr>
          <w:p>
            <w:pPr>
              <w:pStyle w:val="15"/>
            </w:pPr>
            <w:r>
              <w:t>3152.95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3152.95</w:t>
            </w:r>
          </w:p>
        </w:tc>
        <w:tc>
          <w:tcPr>
            <w:tcW w:w="3402" w:type="dxa"/>
            <w:vAlign w:val="center"/>
          </w:tcPr>
          <w:p>
            <w:pPr>
              <w:pStyle w:val="14"/>
            </w:pPr>
            <w:r>
              <w:t>支出总计</w:t>
            </w:r>
          </w:p>
        </w:tc>
        <w:tc>
          <w:tcPr>
            <w:tcW w:w="1474" w:type="dxa"/>
            <w:vAlign w:val="center"/>
          </w:tcPr>
          <w:p>
            <w:pPr>
              <w:pStyle w:val="15"/>
            </w:pPr>
            <w:r>
              <w:t>3152.95</w:t>
            </w:r>
          </w:p>
        </w:tc>
        <w:tc>
          <w:tcPr>
            <w:tcW w:w="1474" w:type="dxa"/>
            <w:vAlign w:val="center"/>
          </w:tcPr>
          <w:p>
            <w:pPr>
              <w:pStyle w:val="15"/>
            </w:pPr>
            <w:r>
              <w:t>3152.95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593承德市工业和信息化局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3152.95</w:t>
            </w:r>
          </w:p>
        </w:tc>
        <w:tc>
          <w:tcPr>
            <w:tcW w:w="2551" w:type="dxa"/>
            <w:vAlign w:val="center"/>
          </w:tcPr>
          <w:p>
            <w:pPr>
              <w:pStyle w:val="15"/>
            </w:pPr>
            <w:r>
              <w:t>2657.95</w:t>
            </w:r>
          </w:p>
        </w:tc>
        <w:tc>
          <w:tcPr>
            <w:tcW w:w="2551" w:type="dxa"/>
            <w:vAlign w:val="center"/>
          </w:tcPr>
          <w:p>
            <w:pPr>
              <w:pStyle w:val="15"/>
            </w:pPr>
            <w:r>
              <w:t>495.00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1405.75</w:t>
            </w:r>
          </w:p>
        </w:tc>
        <w:tc>
          <w:tcPr>
            <w:tcW w:w="2551" w:type="dxa"/>
            <w:vAlign w:val="center"/>
          </w:tcPr>
          <w:p>
            <w:pPr>
              <w:pStyle w:val="11"/>
            </w:pPr>
            <w:r>
              <w:t>1405.75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1375.95</w:t>
            </w:r>
          </w:p>
        </w:tc>
        <w:tc>
          <w:tcPr>
            <w:tcW w:w="2551" w:type="dxa"/>
            <w:vAlign w:val="center"/>
          </w:tcPr>
          <w:p>
            <w:pPr>
              <w:pStyle w:val="11"/>
            </w:pPr>
            <w:r>
              <w:t>1375.95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1268.70</w:t>
            </w:r>
          </w:p>
        </w:tc>
        <w:tc>
          <w:tcPr>
            <w:tcW w:w="2551" w:type="dxa"/>
            <w:vAlign w:val="center"/>
          </w:tcPr>
          <w:p>
            <w:pPr>
              <w:pStyle w:val="11"/>
            </w:pPr>
            <w:r>
              <w:t>1268.70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107.25</w:t>
            </w:r>
          </w:p>
        </w:tc>
        <w:tc>
          <w:tcPr>
            <w:tcW w:w="2551" w:type="dxa"/>
            <w:vAlign w:val="center"/>
          </w:tcPr>
          <w:p>
            <w:pPr>
              <w:pStyle w:val="11"/>
            </w:pPr>
            <w:r>
              <w:t>107.25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20808</w:t>
            </w:r>
          </w:p>
        </w:tc>
        <w:tc>
          <w:tcPr>
            <w:tcW w:w="4535" w:type="dxa"/>
            <w:vAlign w:val="center"/>
          </w:tcPr>
          <w:p>
            <w:pPr>
              <w:pStyle w:val="12"/>
            </w:pPr>
            <w:r>
              <w:t>抚恤</w:t>
            </w:r>
          </w:p>
        </w:tc>
        <w:tc>
          <w:tcPr>
            <w:tcW w:w="2551" w:type="dxa"/>
            <w:vAlign w:val="center"/>
          </w:tcPr>
          <w:p>
            <w:pPr>
              <w:pStyle w:val="11"/>
            </w:pPr>
            <w:r>
              <w:t>29.80</w:t>
            </w:r>
          </w:p>
        </w:tc>
        <w:tc>
          <w:tcPr>
            <w:tcW w:w="2551" w:type="dxa"/>
            <w:vAlign w:val="center"/>
          </w:tcPr>
          <w:p>
            <w:pPr>
              <w:pStyle w:val="11"/>
            </w:pPr>
            <w:r>
              <w:t>29.80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2080801</w:t>
            </w:r>
          </w:p>
        </w:tc>
        <w:tc>
          <w:tcPr>
            <w:tcW w:w="4535" w:type="dxa"/>
            <w:vAlign w:val="center"/>
          </w:tcPr>
          <w:p>
            <w:pPr>
              <w:pStyle w:val="12"/>
            </w:pPr>
            <w:r>
              <w:t>死亡抚恤</w:t>
            </w:r>
          </w:p>
        </w:tc>
        <w:tc>
          <w:tcPr>
            <w:tcW w:w="2551" w:type="dxa"/>
            <w:vAlign w:val="center"/>
          </w:tcPr>
          <w:p>
            <w:pPr>
              <w:pStyle w:val="11"/>
            </w:pPr>
            <w:r>
              <w:t>17.56</w:t>
            </w:r>
          </w:p>
        </w:tc>
        <w:tc>
          <w:tcPr>
            <w:tcW w:w="2551" w:type="dxa"/>
            <w:vAlign w:val="center"/>
          </w:tcPr>
          <w:p>
            <w:pPr>
              <w:pStyle w:val="11"/>
            </w:pPr>
            <w:r>
              <w:t>17.56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2080802</w:t>
            </w:r>
          </w:p>
        </w:tc>
        <w:tc>
          <w:tcPr>
            <w:tcW w:w="4535" w:type="dxa"/>
            <w:vAlign w:val="center"/>
          </w:tcPr>
          <w:p>
            <w:pPr>
              <w:pStyle w:val="12"/>
            </w:pPr>
            <w:r>
              <w:t>伤残抚恤</w:t>
            </w:r>
          </w:p>
        </w:tc>
        <w:tc>
          <w:tcPr>
            <w:tcW w:w="2551" w:type="dxa"/>
            <w:vAlign w:val="center"/>
          </w:tcPr>
          <w:p>
            <w:pPr>
              <w:pStyle w:val="11"/>
            </w:pPr>
            <w:r>
              <w:t>12.24</w:t>
            </w:r>
          </w:p>
        </w:tc>
        <w:tc>
          <w:tcPr>
            <w:tcW w:w="2551" w:type="dxa"/>
            <w:vAlign w:val="center"/>
          </w:tcPr>
          <w:p>
            <w:pPr>
              <w:pStyle w:val="11"/>
            </w:pPr>
            <w:r>
              <w:t>12.24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64.61</w:t>
            </w:r>
          </w:p>
        </w:tc>
        <w:tc>
          <w:tcPr>
            <w:tcW w:w="2551" w:type="dxa"/>
            <w:vAlign w:val="center"/>
          </w:tcPr>
          <w:p>
            <w:pPr>
              <w:pStyle w:val="11"/>
            </w:pPr>
            <w:r>
              <w:t>64.61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64.61</w:t>
            </w:r>
          </w:p>
        </w:tc>
        <w:tc>
          <w:tcPr>
            <w:tcW w:w="2551" w:type="dxa"/>
            <w:vAlign w:val="center"/>
          </w:tcPr>
          <w:p>
            <w:pPr>
              <w:pStyle w:val="11"/>
            </w:pPr>
            <w:r>
              <w:t>64.61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57.91</w:t>
            </w:r>
          </w:p>
        </w:tc>
        <w:tc>
          <w:tcPr>
            <w:tcW w:w="2551" w:type="dxa"/>
            <w:vAlign w:val="center"/>
          </w:tcPr>
          <w:p>
            <w:pPr>
              <w:pStyle w:val="11"/>
            </w:pPr>
            <w:r>
              <w:t>57.91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6.70</w:t>
            </w:r>
          </w:p>
        </w:tc>
        <w:tc>
          <w:tcPr>
            <w:tcW w:w="2551" w:type="dxa"/>
            <w:vAlign w:val="center"/>
          </w:tcPr>
          <w:p>
            <w:pPr>
              <w:pStyle w:val="11"/>
            </w:pPr>
            <w:r>
              <w:t>6.70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215</w:t>
            </w:r>
          </w:p>
        </w:tc>
        <w:tc>
          <w:tcPr>
            <w:tcW w:w="4535" w:type="dxa"/>
            <w:vAlign w:val="center"/>
          </w:tcPr>
          <w:p>
            <w:pPr>
              <w:pStyle w:val="12"/>
            </w:pPr>
            <w:r>
              <w:t>资源勘探工业信息等支出</w:t>
            </w:r>
          </w:p>
        </w:tc>
        <w:tc>
          <w:tcPr>
            <w:tcW w:w="2551" w:type="dxa"/>
            <w:vAlign w:val="center"/>
          </w:tcPr>
          <w:p>
            <w:pPr>
              <w:pStyle w:val="11"/>
            </w:pPr>
            <w:r>
              <w:t>1602.15</w:t>
            </w:r>
          </w:p>
        </w:tc>
        <w:tc>
          <w:tcPr>
            <w:tcW w:w="2551" w:type="dxa"/>
            <w:vAlign w:val="center"/>
          </w:tcPr>
          <w:p>
            <w:pPr>
              <w:pStyle w:val="11"/>
            </w:pPr>
            <w:r>
              <w:t>1107.15</w:t>
            </w:r>
          </w:p>
        </w:tc>
        <w:tc>
          <w:tcPr>
            <w:tcW w:w="2551" w:type="dxa"/>
            <w:vAlign w:val="center"/>
          </w:tcPr>
          <w:p>
            <w:pPr>
              <w:pStyle w:val="11"/>
            </w:pPr>
            <w:r>
              <w:t>495.00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21505</w:t>
            </w:r>
          </w:p>
        </w:tc>
        <w:tc>
          <w:tcPr>
            <w:tcW w:w="4535" w:type="dxa"/>
            <w:vAlign w:val="center"/>
          </w:tcPr>
          <w:p>
            <w:pPr>
              <w:pStyle w:val="12"/>
            </w:pPr>
            <w:r>
              <w:t>工业和信息产业监管</w:t>
            </w:r>
          </w:p>
        </w:tc>
        <w:tc>
          <w:tcPr>
            <w:tcW w:w="2551" w:type="dxa"/>
            <w:vAlign w:val="center"/>
          </w:tcPr>
          <w:p>
            <w:pPr>
              <w:pStyle w:val="11"/>
            </w:pPr>
            <w:r>
              <w:t>1602.15</w:t>
            </w:r>
          </w:p>
        </w:tc>
        <w:tc>
          <w:tcPr>
            <w:tcW w:w="2551" w:type="dxa"/>
            <w:vAlign w:val="center"/>
          </w:tcPr>
          <w:p>
            <w:pPr>
              <w:pStyle w:val="11"/>
            </w:pPr>
            <w:r>
              <w:t>1107.15</w:t>
            </w:r>
          </w:p>
        </w:tc>
        <w:tc>
          <w:tcPr>
            <w:tcW w:w="2551" w:type="dxa"/>
            <w:vAlign w:val="center"/>
          </w:tcPr>
          <w:p>
            <w:pPr>
              <w:pStyle w:val="11"/>
            </w:pPr>
            <w:r>
              <w:t>495.00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2150501</w:t>
            </w:r>
          </w:p>
        </w:tc>
        <w:tc>
          <w:tcPr>
            <w:tcW w:w="4535" w:type="dxa"/>
            <w:vAlign w:val="center"/>
          </w:tcPr>
          <w:p>
            <w:pPr>
              <w:pStyle w:val="12"/>
            </w:pPr>
            <w:r>
              <w:t>行政运行</w:t>
            </w:r>
          </w:p>
        </w:tc>
        <w:tc>
          <w:tcPr>
            <w:tcW w:w="2551" w:type="dxa"/>
            <w:vAlign w:val="center"/>
          </w:tcPr>
          <w:p>
            <w:pPr>
              <w:pStyle w:val="11"/>
            </w:pPr>
            <w:r>
              <w:t>1107.15</w:t>
            </w:r>
          </w:p>
        </w:tc>
        <w:tc>
          <w:tcPr>
            <w:tcW w:w="2551" w:type="dxa"/>
            <w:vAlign w:val="center"/>
          </w:tcPr>
          <w:p>
            <w:pPr>
              <w:pStyle w:val="11"/>
            </w:pPr>
            <w:r>
              <w:t>1107.15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2150517</w:t>
            </w:r>
          </w:p>
        </w:tc>
        <w:tc>
          <w:tcPr>
            <w:tcW w:w="4535" w:type="dxa"/>
            <w:vAlign w:val="center"/>
          </w:tcPr>
          <w:p>
            <w:pPr>
              <w:pStyle w:val="12"/>
            </w:pPr>
            <w:r>
              <w:t>产业发展</w:t>
            </w:r>
          </w:p>
        </w:tc>
        <w:tc>
          <w:tcPr>
            <w:tcW w:w="2551" w:type="dxa"/>
            <w:vAlign w:val="center"/>
          </w:tcPr>
          <w:p>
            <w:pPr>
              <w:pStyle w:val="11"/>
            </w:pPr>
            <w:r>
              <w:t>495.00</w:t>
            </w:r>
          </w:p>
        </w:tc>
        <w:tc>
          <w:tcPr>
            <w:tcW w:w="2551" w:type="dxa"/>
            <w:vAlign w:val="center"/>
          </w:tcPr>
          <w:p>
            <w:pPr>
              <w:pStyle w:val="11"/>
            </w:pPr>
          </w:p>
        </w:tc>
        <w:tc>
          <w:tcPr>
            <w:tcW w:w="2551" w:type="dxa"/>
            <w:vAlign w:val="center"/>
          </w:tcPr>
          <w:p>
            <w:pPr>
              <w:pStyle w:val="11"/>
            </w:pPr>
            <w:r>
              <w:t>495.00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80.44</w:t>
            </w:r>
          </w:p>
        </w:tc>
        <w:tc>
          <w:tcPr>
            <w:tcW w:w="2551" w:type="dxa"/>
            <w:vAlign w:val="center"/>
          </w:tcPr>
          <w:p>
            <w:pPr>
              <w:pStyle w:val="11"/>
            </w:pPr>
            <w:r>
              <w:t>80.44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80.44</w:t>
            </w:r>
          </w:p>
        </w:tc>
        <w:tc>
          <w:tcPr>
            <w:tcW w:w="2551" w:type="dxa"/>
            <w:vAlign w:val="center"/>
          </w:tcPr>
          <w:p>
            <w:pPr>
              <w:pStyle w:val="11"/>
            </w:pPr>
            <w:r>
              <w:t>80.44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80.44</w:t>
            </w:r>
          </w:p>
        </w:tc>
        <w:tc>
          <w:tcPr>
            <w:tcW w:w="2551" w:type="dxa"/>
            <w:vAlign w:val="center"/>
          </w:tcPr>
          <w:p>
            <w:pPr>
              <w:pStyle w:val="11"/>
            </w:pPr>
            <w:r>
              <w:t>80.44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593承德市工业和信息化局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2657.95</w:t>
            </w:r>
          </w:p>
        </w:tc>
        <w:tc>
          <w:tcPr>
            <w:tcW w:w="2551" w:type="dxa"/>
            <w:vAlign w:val="center"/>
          </w:tcPr>
          <w:p>
            <w:pPr>
              <w:pStyle w:val="15"/>
            </w:pPr>
            <w:r>
              <w:t>2460.91</w:t>
            </w:r>
          </w:p>
        </w:tc>
        <w:tc>
          <w:tcPr>
            <w:tcW w:w="2551" w:type="dxa"/>
            <w:vAlign w:val="center"/>
          </w:tcPr>
          <w:p>
            <w:pPr>
              <w:pStyle w:val="15"/>
            </w:pPr>
            <w:r>
              <w:t>197.04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1215.99</w:t>
            </w:r>
          </w:p>
        </w:tc>
        <w:tc>
          <w:tcPr>
            <w:tcW w:w="2551" w:type="dxa"/>
            <w:vAlign w:val="center"/>
          </w:tcPr>
          <w:p>
            <w:pPr>
              <w:pStyle w:val="11"/>
            </w:pPr>
            <w:r>
              <w:t>1215.99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437.16</w:t>
            </w:r>
          </w:p>
        </w:tc>
        <w:tc>
          <w:tcPr>
            <w:tcW w:w="2551" w:type="dxa"/>
            <w:vAlign w:val="center"/>
          </w:tcPr>
          <w:p>
            <w:pPr>
              <w:pStyle w:val="11"/>
            </w:pPr>
            <w:r>
              <w:t>437.16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287.13</w:t>
            </w:r>
          </w:p>
        </w:tc>
        <w:tc>
          <w:tcPr>
            <w:tcW w:w="2551" w:type="dxa"/>
            <w:vAlign w:val="center"/>
          </w:tcPr>
          <w:p>
            <w:pPr>
              <w:pStyle w:val="11"/>
            </w:pPr>
            <w:r>
              <w:t>287.13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186.51</w:t>
            </w:r>
          </w:p>
        </w:tc>
        <w:tc>
          <w:tcPr>
            <w:tcW w:w="2551" w:type="dxa"/>
            <w:vAlign w:val="center"/>
          </w:tcPr>
          <w:p>
            <w:pPr>
              <w:pStyle w:val="11"/>
            </w:pPr>
            <w:r>
              <w:t>186.51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52.89</w:t>
            </w:r>
          </w:p>
        </w:tc>
        <w:tc>
          <w:tcPr>
            <w:tcW w:w="2551" w:type="dxa"/>
            <w:vAlign w:val="center"/>
          </w:tcPr>
          <w:p>
            <w:pPr>
              <w:pStyle w:val="11"/>
            </w:pPr>
            <w:r>
              <w:t>52.89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107.25</w:t>
            </w:r>
          </w:p>
        </w:tc>
        <w:tc>
          <w:tcPr>
            <w:tcW w:w="2551" w:type="dxa"/>
            <w:vAlign w:val="center"/>
          </w:tcPr>
          <w:p>
            <w:pPr>
              <w:pStyle w:val="11"/>
            </w:pPr>
            <w:r>
              <w:t>107.25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城镇职工基本医疗保险缴费</w:t>
            </w:r>
          </w:p>
        </w:tc>
        <w:tc>
          <w:tcPr>
            <w:tcW w:w="2551" w:type="dxa"/>
            <w:vAlign w:val="center"/>
          </w:tcPr>
          <w:p>
            <w:pPr>
              <w:pStyle w:val="11"/>
            </w:pPr>
            <w:r>
              <w:t>43.57</w:t>
            </w:r>
          </w:p>
        </w:tc>
        <w:tc>
          <w:tcPr>
            <w:tcW w:w="2551" w:type="dxa"/>
            <w:vAlign w:val="center"/>
          </w:tcPr>
          <w:p>
            <w:pPr>
              <w:pStyle w:val="11"/>
            </w:pPr>
            <w:r>
              <w:t>43.57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6.70</w:t>
            </w:r>
          </w:p>
        </w:tc>
        <w:tc>
          <w:tcPr>
            <w:tcW w:w="2551" w:type="dxa"/>
            <w:vAlign w:val="center"/>
          </w:tcPr>
          <w:p>
            <w:pPr>
              <w:pStyle w:val="11"/>
            </w:pPr>
            <w:r>
              <w:t>6.70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14.34</w:t>
            </w:r>
          </w:p>
        </w:tc>
        <w:tc>
          <w:tcPr>
            <w:tcW w:w="2551" w:type="dxa"/>
            <w:vAlign w:val="center"/>
          </w:tcPr>
          <w:p>
            <w:pPr>
              <w:pStyle w:val="11"/>
            </w:pPr>
            <w:r>
              <w:t>14.34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80.44</w:t>
            </w:r>
          </w:p>
        </w:tc>
        <w:tc>
          <w:tcPr>
            <w:tcW w:w="2551" w:type="dxa"/>
            <w:vAlign w:val="center"/>
          </w:tcPr>
          <w:p>
            <w:pPr>
              <w:pStyle w:val="11"/>
            </w:pPr>
            <w:r>
              <w:t>80.44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197.04</w:t>
            </w:r>
          </w:p>
        </w:tc>
        <w:tc>
          <w:tcPr>
            <w:tcW w:w="2551" w:type="dxa"/>
            <w:vAlign w:val="center"/>
          </w:tcPr>
          <w:p>
            <w:pPr>
              <w:pStyle w:val="11"/>
            </w:pPr>
          </w:p>
        </w:tc>
        <w:tc>
          <w:tcPr>
            <w:tcW w:w="2551" w:type="dxa"/>
            <w:vAlign w:val="center"/>
          </w:tcPr>
          <w:p>
            <w:pPr>
              <w:pStyle w:val="11"/>
            </w:pPr>
            <w:r>
              <w:t>197.04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21.43</w:t>
            </w:r>
          </w:p>
        </w:tc>
        <w:tc>
          <w:tcPr>
            <w:tcW w:w="2551" w:type="dxa"/>
            <w:vAlign w:val="center"/>
          </w:tcPr>
          <w:p>
            <w:pPr>
              <w:pStyle w:val="11"/>
            </w:pPr>
          </w:p>
        </w:tc>
        <w:tc>
          <w:tcPr>
            <w:tcW w:w="2551" w:type="dxa"/>
            <w:vAlign w:val="center"/>
          </w:tcPr>
          <w:p>
            <w:pPr>
              <w:pStyle w:val="11"/>
            </w:pPr>
            <w:r>
              <w:t>21.43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36.00</w:t>
            </w:r>
          </w:p>
        </w:tc>
        <w:tc>
          <w:tcPr>
            <w:tcW w:w="2551" w:type="dxa"/>
            <w:vAlign w:val="center"/>
          </w:tcPr>
          <w:p>
            <w:pPr>
              <w:pStyle w:val="11"/>
            </w:pPr>
          </w:p>
        </w:tc>
        <w:tc>
          <w:tcPr>
            <w:tcW w:w="2551" w:type="dxa"/>
            <w:vAlign w:val="center"/>
          </w:tcPr>
          <w:p>
            <w:pPr>
              <w:pStyle w:val="11"/>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30212</w:t>
            </w:r>
          </w:p>
        </w:tc>
        <w:tc>
          <w:tcPr>
            <w:tcW w:w="4535" w:type="dxa"/>
            <w:vAlign w:val="center"/>
          </w:tcPr>
          <w:p>
            <w:pPr>
              <w:pStyle w:val="12"/>
            </w:pPr>
            <w:r>
              <w:t>因公出国（境）费用</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3021202</w:t>
            </w:r>
          </w:p>
        </w:tc>
        <w:tc>
          <w:tcPr>
            <w:tcW w:w="4535" w:type="dxa"/>
            <w:vAlign w:val="center"/>
          </w:tcPr>
          <w:p>
            <w:pPr>
              <w:pStyle w:val="12"/>
            </w:pPr>
            <w:r>
              <w:t>其他因公出国（境）费</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0.91</w:t>
            </w:r>
          </w:p>
        </w:tc>
        <w:tc>
          <w:tcPr>
            <w:tcW w:w="2551" w:type="dxa"/>
            <w:vAlign w:val="center"/>
          </w:tcPr>
          <w:p>
            <w:pPr>
              <w:pStyle w:val="11"/>
            </w:pPr>
          </w:p>
        </w:tc>
        <w:tc>
          <w:tcPr>
            <w:tcW w:w="2551" w:type="dxa"/>
            <w:vAlign w:val="center"/>
          </w:tcPr>
          <w:p>
            <w:pPr>
              <w:pStyle w:val="11"/>
            </w:pPr>
            <w:r>
              <w:t>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8.04</w:t>
            </w:r>
          </w:p>
        </w:tc>
        <w:tc>
          <w:tcPr>
            <w:tcW w:w="2551" w:type="dxa"/>
            <w:vAlign w:val="center"/>
          </w:tcPr>
          <w:p>
            <w:pPr>
              <w:pStyle w:val="11"/>
            </w:pPr>
          </w:p>
        </w:tc>
        <w:tc>
          <w:tcPr>
            <w:tcW w:w="2551" w:type="dxa"/>
            <w:vAlign w:val="center"/>
          </w:tcPr>
          <w:p>
            <w:pPr>
              <w:pStyle w:val="11"/>
            </w:pPr>
            <w:r>
              <w:t>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9.42</w:t>
            </w:r>
          </w:p>
        </w:tc>
        <w:tc>
          <w:tcPr>
            <w:tcW w:w="2551" w:type="dxa"/>
            <w:vAlign w:val="center"/>
          </w:tcPr>
          <w:p>
            <w:pPr>
              <w:pStyle w:val="11"/>
            </w:pPr>
          </w:p>
        </w:tc>
        <w:tc>
          <w:tcPr>
            <w:tcW w:w="2551" w:type="dxa"/>
            <w:vAlign w:val="center"/>
          </w:tcPr>
          <w:p>
            <w:pPr>
              <w:pStyle w:val="11"/>
            </w:pPr>
            <w:r>
              <w:t>9.42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2.80</w:t>
            </w:r>
          </w:p>
        </w:tc>
        <w:tc>
          <w:tcPr>
            <w:tcW w:w="2551" w:type="dxa"/>
            <w:vAlign w:val="center"/>
          </w:tcPr>
          <w:p>
            <w:pPr>
              <w:pStyle w:val="11"/>
            </w:pPr>
          </w:p>
        </w:tc>
        <w:tc>
          <w:tcPr>
            <w:tcW w:w="2551" w:type="dxa"/>
            <w:vAlign w:val="center"/>
          </w:tcPr>
          <w:p>
            <w:pPr>
              <w:pStyle w:val="11"/>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53.09</w:t>
            </w:r>
          </w:p>
        </w:tc>
        <w:tc>
          <w:tcPr>
            <w:tcW w:w="2551" w:type="dxa"/>
            <w:vAlign w:val="center"/>
          </w:tcPr>
          <w:p>
            <w:pPr>
              <w:pStyle w:val="11"/>
            </w:pPr>
          </w:p>
        </w:tc>
        <w:tc>
          <w:tcPr>
            <w:tcW w:w="2551" w:type="dxa"/>
            <w:vAlign w:val="center"/>
          </w:tcPr>
          <w:p>
            <w:pPr>
              <w:pStyle w:val="11"/>
            </w:pPr>
            <w:r>
              <w:t>53.09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55.35</w:t>
            </w:r>
          </w:p>
        </w:tc>
        <w:tc>
          <w:tcPr>
            <w:tcW w:w="2551" w:type="dxa"/>
            <w:vAlign w:val="center"/>
          </w:tcPr>
          <w:p>
            <w:pPr>
              <w:pStyle w:val="11"/>
            </w:pPr>
          </w:p>
        </w:tc>
        <w:tc>
          <w:tcPr>
            <w:tcW w:w="2551" w:type="dxa"/>
            <w:vAlign w:val="center"/>
          </w:tcPr>
          <w:p>
            <w:pPr>
              <w:pStyle w:val="11"/>
            </w:pPr>
            <w:r>
              <w:t>55.35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1244.92</w:t>
            </w:r>
          </w:p>
        </w:tc>
        <w:tc>
          <w:tcPr>
            <w:tcW w:w="2551" w:type="dxa"/>
            <w:vAlign w:val="center"/>
          </w:tcPr>
          <w:p>
            <w:pPr>
              <w:pStyle w:val="11"/>
            </w:pPr>
            <w:r>
              <w:t>1244.92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239.60</w:t>
            </w:r>
          </w:p>
        </w:tc>
        <w:tc>
          <w:tcPr>
            <w:tcW w:w="2551" w:type="dxa"/>
            <w:vAlign w:val="center"/>
          </w:tcPr>
          <w:p>
            <w:pPr>
              <w:pStyle w:val="11"/>
            </w:pPr>
            <w:r>
              <w:t>239.60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975.44</w:t>
            </w:r>
          </w:p>
        </w:tc>
        <w:tc>
          <w:tcPr>
            <w:tcW w:w="2551" w:type="dxa"/>
            <w:vAlign w:val="center"/>
          </w:tcPr>
          <w:p>
            <w:pPr>
              <w:pStyle w:val="11"/>
            </w:pPr>
            <w:r>
              <w:t>975.44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30304</w:t>
            </w:r>
          </w:p>
        </w:tc>
        <w:tc>
          <w:tcPr>
            <w:tcW w:w="4535" w:type="dxa"/>
            <w:vAlign w:val="center"/>
          </w:tcPr>
          <w:p>
            <w:pPr>
              <w:pStyle w:val="12"/>
            </w:pPr>
            <w:r>
              <w:t>抚恤金</w:t>
            </w:r>
          </w:p>
        </w:tc>
        <w:tc>
          <w:tcPr>
            <w:tcW w:w="2551" w:type="dxa"/>
            <w:vAlign w:val="center"/>
          </w:tcPr>
          <w:p>
            <w:pPr>
              <w:pStyle w:val="11"/>
            </w:pPr>
            <w:r>
              <w:t>12.24</w:t>
            </w:r>
          </w:p>
        </w:tc>
        <w:tc>
          <w:tcPr>
            <w:tcW w:w="2551" w:type="dxa"/>
            <w:vAlign w:val="center"/>
          </w:tcPr>
          <w:p>
            <w:pPr>
              <w:pStyle w:val="11"/>
            </w:pPr>
            <w:r>
              <w:t>12.24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17.56</w:t>
            </w:r>
          </w:p>
        </w:tc>
        <w:tc>
          <w:tcPr>
            <w:tcW w:w="2551" w:type="dxa"/>
            <w:vAlign w:val="center"/>
          </w:tcPr>
          <w:p>
            <w:pPr>
              <w:pStyle w:val="11"/>
            </w:pPr>
            <w:r>
              <w:t>17.56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0.08</w:t>
            </w:r>
          </w:p>
        </w:tc>
        <w:tc>
          <w:tcPr>
            <w:tcW w:w="2551" w:type="dxa"/>
            <w:vAlign w:val="center"/>
          </w:tcPr>
          <w:p>
            <w:pPr>
              <w:pStyle w:val="11"/>
            </w:pPr>
            <w:r>
              <w:t>0.08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593承德市工业和信息化局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593承德市工业和信息化局</w:t>
            </w:r>
          </w:p>
        </w:tc>
        <w:tc>
          <w:tcPr>
            <w:tcW w:w="2551" w:type="dxa"/>
            <w:tcBorders>
              <w:top w:val="single" w:color="FFFFFF" w:sz="6" w:space="0"/>
              <w:left w:val="single" w:color="FFFFFF" w:sz="6" w:space="0"/>
              <w:right w:val="single" w:color="FFFFFF" w:sz="6" w:space="0"/>
            </w:tcBorders>
            <w:vAlign w:val="center"/>
          </w:tcPr>
          <w:p>
            <w:pPr>
              <w:pStyle w:val="8"/>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593承德市工业和信息化局</w:t>
            </w:r>
          </w:p>
        </w:tc>
        <w:tc>
          <w:tcPr>
            <w:tcW w:w="2381" w:type="dxa"/>
            <w:tcBorders>
              <w:top w:val="single" w:color="FFFFFF" w:sz="6" w:space="0"/>
              <w:left w:val="single" w:color="FFFFFF" w:sz="6" w:space="0"/>
              <w:right w:val="single" w:color="FFFFFF" w:sz="6" w:space="0"/>
            </w:tcBorders>
            <w:vAlign w:val="center"/>
          </w:tcPr>
          <w:p>
            <w:pPr>
              <w:pStyle w:val="8"/>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pPr>
            <w:r>
              <w:rPr>
                <w:rFonts w:hint="eastAsia"/>
                <w:lang w:val="en-US" w:eastAsia="zh-CN"/>
              </w:rPr>
              <w:t>23</w:t>
            </w:r>
            <w:r>
              <w:t>.71</w:t>
            </w:r>
          </w:p>
        </w:tc>
        <w:tc>
          <w:tcPr>
            <w:tcW w:w="2381" w:type="dxa"/>
            <w:vAlign w:val="center"/>
          </w:tcPr>
          <w:p>
            <w:pPr>
              <w:pStyle w:val="15"/>
            </w:pPr>
            <w:r>
              <w:rPr>
                <w:rFonts w:hint="eastAsia"/>
                <w:lang w:val="en-US" w:eastAsia="zh-CN"/>
              </w:rPr>
              <w:t>23</w:t>
            </w:r>
            <w:r>
              <w:t>.71</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方正书宋_GBK"/>
                <w:lang w:eastAsia="zh-CN"/>
              </w:rPr>
            </w:pPr>
            <w:r>
              <w:rPr>
                <w:rFonts w:hint="eastAsia"/>
                <w:lang w:val="en-US" w:eastAsia="zh-CN"/>
              </w:rPr>
              <w:t>2</w:t>
            </w:r>
          </w:p>
        </w:tc>
        <w:tc>
          <w:tcPr>
            <w:tcW w:w="3798" w:type="dxa"/>
            <w:vAlign w:val="center"/>
          </w:tcPr>
          <w:p>
            <w:pPr>
              <w:pStyle w:val="12"/>
            </w:pPr>
            <w:r>
              <w:t>一、因公出国（境）费</w:t>
            </w:r>
          </w:p>
        </w:tc>
        <w:tc>
          <w:tcPr>
            <w:tcW w:w="2382" w:type="dxa"/>
            <w:vAlign w:val="center"/>
          </w:tcPr>
          <w:p>
            <w:pPr>
              <w:pStyle w:val="11"/>
            </w:pPr>
            <w:r>
              <w:t>10.00</w:t>
            </w:r>
          </w:p>
        </w:tc>
        <w:tc>
          <w:tcPr>
            <w:tcW w:w="2381" w:type="dxa"/>
            <w:vAlign w:val="center"/>
          </w:tcPr>
          <w:p>
            <w:pPr>
              <w:pStyle w:val="11"/>
            </w:pPr>
            <w:r>
              <w:t>10.00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方正书宋_GBK"/>
                <w:lang w:eastAsia="zh-CN"/>
              </w:rPr>
            </w:pPr>
            <w:r>
              <w:rPr>
                <w:rFonts w:hint="eastAsia"/>
                <w:lang w:val="en-US" w:eastAsia="zh-CN"/>
              </w:rPr>
              <w:t>3</w:t>
            </w:r>
          </w:p>
        </w:tc>
        <w:tc>
          <w:tcPr>
            <w:tcW w:w="3798" w:type="dxa"/>
            <w:vAlign w:val="center"/>
          </w:tcPr>
          <w:p>
            <w:pPr>
              <w:pStyle w:val="12"/>
            </w:pPr>
            <w:r>
              <w:t xml:space="preserve">    其中：教学科研人员因公出国（境）费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方正书宋_GBK"/>
                <w:lang w:eastAsia="zh-CN"/>
              </w:rPr>
            </w:pPr>
            <w:r>
              <w:rPr>
                <w:rFonts w:hint="eastAsia"/>
                <w:lang w:val="en-US" w:eastAsia="zh-CN"/>
              </w:rPr>
              <w:t>4</w:t>
            </w:r>
          </w:p>
        </w:tc>
        <w:tc>
          <w:tcPr>
            <w:tcW w:w="3798" w:type="dxa"/>
            <w:vAlign w:val="center"/>
          </w:tcPr>
          <w:p>
            <w:pPr>
              <w:pStyle w:val="12"/>
            </w:pPr>
            <w:r>
              <w:t xml:space="preserve">          其他因公出国（境）费</w:t>
            </w:r>
          </w:p>
        </w:tc>
        <w:tc>
          <w:tcPr>
            <w:tcW w:w="2382" w:type="dxa"/>
            <w:vAlign w:val="center"/>
          </w:tcPr>
          <w:p>
            <w:pPr>
              <w:pStyle w:val="11"/>
            </w:pPr>
            <w:r>
              <w:t>10.00</w:t>
            </w:r>
          </w:p>
        </w:tc>
        <w:tc>
          <w:tcPr>
            <w:tcW w:w="2381" w:type="dxa"/>
            <w:vAlign w:val="center"/>
          </w:tcPr>
          <w:p>
            <w:pPr>
              <w:pStyle w:val="11"/>
            </w:pPr>
            <w:r>
              <w:t>10.00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方正书宋_GBK"/>
                <w:lang w:eastAsia="zh-CN"/>
              </w:rPr>
            </w:pPr>
            <w:r>
              <w:rPr>
                <w:rFonts w:hint="eastAsia"/>
                <w:lang w:val="en-US" w:eastAsia="zh-CN"/>
              </w:rPr>
              <w:t>5</w:t>
            </w:r>
          </w:p>
        </w:tc>
        <w:tc>
          <w:tcPr>
            <w:tcW w:w="3798" w:type="dxa"/>
            <w:vAlign w:val="center"/>
          </w:tcPr>
          <w:p>
            <w:pPr>
              <w:pStyle w:val="12"/>
            </w:pPr>
            <w:r>
              <w:t>二、公务用车购置及运维费</w:t>
            </w:r>
          </w:p>
        </w:tc>
        <w:tc>
          <w:tcPr>
            <w:tcW w:w="2382" w:type="dxa"/>
            <w:vAlign w:val="center"/>
          </w:tcPr>
          <w:p>
            <w:pPr>
              <w:pStyle w:val="11"/>
            </w:pPr>
            <w:r>
              <w:t>7.80</w:t>
            </w:r>
          </w:p>
        </w:tc>
        <w:tc>
          <w:tcPr>
            <w:tcW w:w="2381" w:type="dxa"/>
            <w:vAlign w:val="center"/>
          </w:tcPr>
          <w:p>
            <w:pPr>
              <w:pStyle w:val="11"/>
            </w:pPr>
            <w:r>
              <w:t>7.80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方正书宋_GBK"/>
                <w:lang w:eastAsia="zh-CN"/>
              </w:rPr>
            </w:pPr>
            <w:r>
              <w:rPr>
                <w:rFonts w:hint="eastAsia"/>
                <w:lang w:val="en-US" w:eastAsia="zh-CN"/>
              </w:rPr>
              <w:t>6</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方正书宋_GBK"/>
                <w:lang w:eastAsia="zh-CN"/>
              </w:rPr>
            </w:pPr>
            <w:r>
              <w:rPr>
                <w:rFonts w:hint="eastAsia"/>
                <w:lang w:val="en-US" w:eastAsia="zh-CN"/>
              </w:rPr>
              <w:t>7</w:t>
            </w:r>
          </w:p>
        </w:tc>
        <w:tc>
          <w:tcPr>
            <w:tcW w:w="3798" w:type="dxa"/>
            <w:vAlign w:val="center"/>
          </w:tcPr>
          <w:p>
            <w:pPr>
              <w:pStyle w:val="12"/>
            </w:pPr>
            <w:r>
              <w:t xml:space="preserve">          公务用车运行维护费</w:t>
            </w:r>
          </w:p>
        </w:tc>
        <w:tc>
          <w:tcPr>
            <w:tcW w:w="2382" w:type="dxa"/>
            <w:vAlign w:val="center"/>
          </w:tcPr>
          <w:p>
            <w:pPr>
              <w:pStyle w:val="11"/>
            </w:pPr>
            <w:r>
              <w:t>7.80</w:t>
            </w:r>
          </w:p>
        </w:tc>
        <w:tc>
          <w:tcPr>
            <w:tcW w:w="2381" w:type="dxa"/>
            <w:vAlign w:val="center"/>
          </w:tcPr>
          <w:p>
            <w:pPr>
              <w:pStyle w:val="11"/>
            </w:pPr>
            <w:r>
              <w:t>7.80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rPr>
                <w:rFonts w:hint="eastAsia" w:eastAsia="方正书宋_GBK"/>
                <w:lang w:eastAsia="zh-CN"/>
              </w:rPr>
            </w:pPr>
            <w:r>
              <w:rPr>
                <w:rFonts w:hint="eastAsia"/>
                <w:lang w:val="en-US" w:eastAsia="zh-CN"/>
              </w:rPr>
              <w:t>8</w:t>
            </w:r>
          </w:p>
        </w:tc>
        <w:tc>
          <w:tcPr>
            <w:tcW w:w="3798" w:type="dxa"/>
            <w:vAlign w:val="center"/>
          </w:tcPr>
          <w:p>
            <w:pPr>
              <w:pStyle w:val="12"/>
            </w:pPr>
            <w:r>
              <w:t>三、公务接待</w:t>
            </w:r>
            <w:bookmarkStart w:id="18" w:name="_GoBack"/>
            <w:bookmarkEnd w:id="18"/>
            <w:r>
              <w:t>费</w:t>
            </w:r>
          </w:p>
        </w:tc>
        <w:tc>
          <w:tcPr>
            <w:tcW w:w="2382" w:type="dxa"/>
            <w:vAlign w:val="center"/>
          </w:tcPr>
          <w:p>
            <w:pPr>
              <w:pStyle w:val="11"/>
            </w:pPr>
            <w:r>
              <w:t>5.91</w:t>
            </w:r>
          </w:p>
        </w:tc>
        <w:tc>
          <w:tcPr>
            <w:tcW w:w="2381" w:type="dxa"/>
            <w:vAlign w:val="center"/>
          </w:tcPr>
          <w:p>
            <w:pPr>
              <w:pStyle w:val="11"/>
            </w:pPr>
            <w:r>
              <w:t>5.91</w:t>
            </w: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承德市工业和信息化局2022年部门预算信息公开情况说明</w:t>
      </w:r>
    </w:p>
    <w:p>
      <w:pPr>
        <w:jc w:val="center"/>
        <w:rPr>
          <w:rFonts w:ascii="方正小标宋_GBK" w:hAnsi="方正小标宋_GBK" w:eastAsia="方正小标宋_GBK" w:cs="方正小标宋_GBK"/>
          <w:color w:val="000000"/>
          <w:sz w:val="44"/>
        </w:rPr>
      </w:pPr>
    </w:p>
    <w:p>
      <w:pPr>
        <w:jc w:val="center"/>
        <w:rPr>
          <w:b/>
          <w:bCs/>
        </w:rPr>
      </w:pPr>
      <w:r>
        <w:rPr>
          <w:rFonts w:ascii="方正小标宋_GBK" w:hAnsi="方正小标宋_GBK" w:eastAsia="方正小标宋_GBK" w:cs="方正小标宋_GBK"/>
          <w:b/>
          <w:bCs/>
          <w:color w:val="000000"/>
          <w:sz w:val="44"/>
        </w:rPr>
        <w:t>承德市工业和信息化局2022年部门预算信息公开情况说明</w:t>
      </w:r>
    </w:p>
    <w:p>
      <w:pPr>
        <w:spacing w:line="500" w:lineRule="exact"/>
        <w:ind w:firstLine="560"/>
        <w:rPr>
          <w:rFonts w:eastAsia="方正仿宋_GBK"/>
          <w:color w:val="000000"/>
          <w:sz w:val="28"/>
        </w:rPr>
      </w:pP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rPr>
          <w:sz w:val="28"/>
          <w:szCs w:val="28"/>
        </w:rPr>
      </w:pPr>
      <w:r>
        <w:rPr>
          <w:rFonts w:eastAsia="方正仿宋_GBK"/>
          <w:color w:val="000000"/>
          <w:sz w:val="28"/>
          <w:szCs w:val="28"/>
        </w:rPr>
        <w:t>按照《中华人民共和国预算法》、《地方预决算公开操作规程》和《关于进一步推进预算公开工作的实施意见》规定，现将承德市工业和信息化局2022年部门预算公开如下：</w:t>
      </w:r>
    </w:p>
    <w:p>
      <w:pPr>
        <w:keepNext w:val="0"/>
        <w:keepLines w:val="0"/>
        <w:pageBreakBefore w:val="0"/>
        <w:widowControl/>
        <w:kinsoku/>
        <w:wordWrap/>
        <w:overflowPunct/>
        <w:topLinePunct w:val="0"/>
        <w:autoSpaceDE/>
        <w:autoSpaceDN/>
        <w:bidi w:val="0"/>
        <w:adjustRightInd/>
        <w:snapToGrid/>
        <w:spacing w:before="10" w:after="10" w:line="500" w:lineRule="exact"/>
        <w:ind w:firstLine="640"/>
        <w:textAlignment w:val="auto"/>
        <w:outlineLvl w:val="2"/>
        <w:rPr>
          <w:sz w:val="32"/>
          <w:szCs w:val="32"/>
        </w:rPr>
      </w:pPr>
      <w:bookmarkStart w:id="9" w:name="_Toc_3_3_0000000010"/>
      <w:r>
        <w:rPr>
          <w:rFonts w:ascii="黑体" w:hAnsi="黑体" w:eastAsia="黑体" w:cs="黑体"/>
          <w:color w:val="000000"/>
          <w:sz w:val="32"/>
          <w:szCs w:val="32"/>
        </w:rPr>
        <w:t>一、部门职责及机构设置情况</w:t>
      </w:r>
      <w:bookmarkEnd w:id="9"/>
    </w:p>
    <w:p>
      <w:pPr>
        <w:keepNext w:val="0"/>
        <w:keepLines w:val="0"/>
        <w:pageBreakBefore w:val="0"/>
        <w:widowControl/>
        <w:kinsoku/>
        <w:wordWrap/>
        <w:overflowPunct/>
        <w:topLinePunct w:val="0"/>
        <w:autoSpaceDE/>
        <w:autoSpaceDN/>
        <w:bidi w:val="0"/>
        <w:adjustRightInd/>
        <w:snapToGrid/>
        <w:spacing w:line="500" w:lineRule="exact"/>
        <w:ind w:firstLine="640"/>
        <w:textAlignment w:val="auto"/>
        <w:rPr>
          <w:sz w:val="28"/>
          <w:szCs w:val="28"/>
        </w:rPr>
      </w:pPr>
      <w:r>
        <w:rPr>
          <w:rFonts w:ascii="方正楷体_GBK" w:hAnsi="方正楷体_GBK" w:eastAsia="方正楷体_GBK" w:cs="方正楷体_GBK"/>
          <w:b/>
          <w:color w:val="000000"/>
          <w:sz w:val="28"/>
          <w:szCs w:val="28"/>
        </w:rPr>
        <w:t>部门职责：</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000000"/>
          <w:sz w:val="28"/>
          <w:szCs w:val="28"/>
        </w:rPr>
      </w:pPr>
      <w:r>
        <w:rPr>
          <w:rFonts w:hint="eastAsia" w:eastAsia="方正仿宋_GBK"/>
          <w:color w:val="000000"/>
          <w:sz w:val="28"/>
          <w:szCs w:val="28"/>
        </w:rPr>
        <w:t>贯彻落实党中央、省委、市委关于工业和信息化工作的方针政策和决策部署，坚持和加强党对工业和信息化工作的集中统一领导。主要职责是：</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000000"/>
          <w:sz w:val="28"/>
          <w:szCs w:val="28"/>
        </w:rPr>
      </w:pPr>
      <w:r>
        <w:rPr>
          <w:rFonts w:hint="eastAsia" w:eastAsia="方正仿宋_GBK"/>
          <w:color w:val="000000"/>
          <w:sz w:val="28"/>
          <w:szCs w:val="28"/>
        </w:rPr>
        <w:t>一、提出全市新型工业化发展战略和政策，协调解决新型工业化进程中的重大问题，拟订并组织实施全市工业的发展规划，推进产业结构战略性调整和优化升级，推进信息化和工业化融合。</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000000"/>
          <w:sz w:val="28"/>
          <w:szCs w:val="28"/>
        </w:rPr>
      </w:pPr>
      <w:r>
        <w:rPr>
          <w:rFonts w:hint="eastAsia" w:eastAsia="方正仿宋_GBK"/>
          <w:color w:val="000000"/>
          <w:sz w:val="28"/>
          <w:szCs w:val="28"/>
        </w:rPr>
        <w:t>二、制订并组织实施全市工业行业规划、计划和产业政策，提出优化产业布局、结构的政策建议，推进现代产业体系建设，起草工业和信息化工作方面的规章草案，组织实施行业技术规范和标准，指导行业质量管理工作。</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000000"/>
          <w:sz w:val="28"/>
          <w:szCs w:val="28"/>
        </w:rPr>
      </w:pPr>
      <w:r>
        <w:rPr>
          <w:rFonts w:hint="eastAsia" w:eastAsia="方正仿宋_GBK"/>
          <w:color w:val="000000"/>
          <w:sz w:val="28"/>
          <w:szCs w:val="28"/>
        </w:rPr>
        <w:t>三、监测分析全市工业运行态势，统计并发布相关信息，进行预测预警和信息引导；协调解决行业运行发展中的有关问题并提出政策建议；负责工业用电监测；负责工业应急管理、产业安全有关工作。</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000000"/>
          <w:sz w:val="28"/>
          <w:szCs w:val="28"/>
        </w:rPr>
      </w:pPr>
      <w:r>
        <w:rPr>
          <w:rFonts w:hint="eastAsia" w:eastAsia="方正仿宋_GBK"/>
          <w:color w:val="000000"/>
          <w:sz w:val="28"/>
          <w:szCs w:val="28"/>
        </w:rPr>
        <w:t>四、负责提出全市工业固定资产投资规模和方向（含利用外资和境外投资）,负责提出国家、省及市财政性建设资金安排的意见，按照规定权限，审批、核准、备案市规划内和年度计划规模内工业固定资产投资项目，负责工业企业技术改造投资项目核准、备案工作，对上述工业固定资产投资项目招投标活动实施监督。</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000000"/>
          <w:sz w:val="28"/>
          <w:szCs w:val="28"/>
        </w:rPr>
      </w:pPr>
      <w:r>
        <w:rPr>
          <w:rFonts w:hint="eastAsia" w:eastAsia="方正仿宋_GBK"/>
          <w:color w:val="000000"/>
          <w:sz w:val="28"/>
          <w:szCs w:val="28"/>
        </w:rPr>
        <w:t>五、负责对中小企业和民营经济促进工作进行指导、综合协调和监督检查，会同有关部门拟订促进中小企业发展和民营经济发展的相关政策和措施并组织实施，协调解决有关重大问题。</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000000"/>
          <w:sz w:val="28"/>
          <w:szCs w:val="28"/>
        </w:rPr>
      </w:pPr>
      <w:r>
        <w:rPr>
          <w:rFonts w:hint="eastAsia" w:eastAsia="方正仿宋_GBK"/>
          <w:color w:val="000000"/>
          <w:sz w:val="28"/>
          <w:szCs w:val="28"/>
        </w:rPr>
        <w:t>六、贯彻落实国家政策和标准，拟订高技术产业中涉及生物医药、新材料、信息产业等规划并组织实施；指导行业技术创新和技术进步，以先进适用技术改造提升传统产业；推进实施有关国家、省和市科技重大专项，推进相关科研成果产业化，推动全市软件业、信息服务业和新兴产业发展。</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000000"/>
          <w:sz w:val="28"/>
          <w:szCs w:val="28"/>
        </w:rPr>
      </w:pPr>
      <w:r>
        <w:rPr>
          <w:rFonts w:hint="eastAsia" w:eastAsia="方正仿宋_GBK"/>
          <w:color w:val="000000"/>
          <w:sz w:val="28"/>
          <w:szCs w:val="28"/>
        </w:rPr>
        <w:t>七、负责全市振兴装备制造业的组织协调，贯彻执行国家重大技术装备发展和自主创新规划、政策，依托国家、省和市重点工程建设协调有关重大专项的实施，推进重大技术装备国产化，指导引进重大技术装备的消化创新。</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000000"/>
          <w:sz w:val="28"/>
          <w:szCs w:val="28"/>
        </w:rPr>
      </w:pPr>
      <w:r>
        <w:rPr>
          <w:rFonts w:hint="eastAsia" w:eastAsia="方正仿宋_GBK"/>
          <w:color w:val="000000"/>
          <w:sz w:val="28"/>
          <w:szCs w:val="28"/>
        </w:rPr>
        <w:t>八、拟订并组织实施全市工业能源节约和资源综合利用促进政策，参与拟订能源节约和资源综合利用促进规划，组织协调相关重大示范工程和新产品、新技术、新设备、新材料的推广应用。</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000000"/>
          <w:sz w:val="28"/>
          <w:szCs w:val="28"/>
        </w:rPr>
      </w:pPr>
      <w:r>
        <w:rPr>
          <w:rFonts w:hint="eastAsia" w:eastAsia="方正仿宋_GBK"/>
          <w:color w:val="000000"/>
          <w:sz w:val="28"/>
          <w:szCs w:val="28"/>
        </w:rPr>
        <w:t>九、推进全市工业体制改革和管理创新，提高行业综合素质和核心竞争力，指导工业行业加强安全生产管理，负责民爆行业生产流通的监督管理和安全生产工作。</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000000"/>
          <w:sz w:val="28"/>
          <w:szCs w:val="28"/>
        </w:rPr>
      </w:pPr>
      <w:r>
        <w:rPr>
          <w:rFonts w:hint="eastAsia" w:eastAsia="方正仿宋_GBK"/>
          <w:color w:val="000000"/>
          <w:sz w:val="28"/>
          <w:szCs w:val="28"/>
        </w:rPr>
        <w:t>十、开展工业、中小企业的对外合作与交流。</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000000"/>
          <w:sz w:val="28"/>
          <w:szCs w:val="28"/>
        </w:rPr>
      </w:pPr>
      <w:r>
        <w:rPr>
          <w:rFonts w:hint="eastAsia" w:eastAsia="方正仿宋_GBK"/>
          <w:color w:val="000000"/>
          <w:sz w:val="28"/>
          <w:szCs w:val="28"/>
        </w:rPr>
        <w:t>十一、承担履行《禁止化学武器公约》的组织协调工作。</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000000"/>
          <w:sz w:val="28"/>
          <w:szCs w:val="28"/>
        </w:rPr>
      </w:pPr>
      <w:r>
        <w:rPr>
          <w:rFonts w:hint="eastAsia" w:eastAsia="方正仿宋_GBK"/>
          <w:color w:val="000000"/>
          <w:sz w:val="28"/>
          <w:szCs w:val="28"/>
        </w:rPr>
        <w:t>十二、承担盐业行业管理工作。</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hint="eastAsia" w:eastAsia="方正仿宋_GBK"/>
          <w:color w:val="000000"/>
          <w:sz w:val="28"/>
          <w:szCs w:val="28"/>
        </w:rPr>
      </w:pPr>
      <w:r>
        <w:rPr>
          <w:rFonts w:hint="eastAsia" w:eastAsia="方正仿宋_GBK"/>
          <w:color w:val="000000"/>
          <w:sz w:val="28"/>
          <w:szCs w:val="28"/>
        </w:rPr>
        <w:t>十三、完成市委、市政府交办的其他任务。</w:t>
      </w:r>
    </w:p>
    <w:p>
      <w:pPr>
        <w:pStyle w:val="17"/>
        <w:keepNext w:val="0"/>
        <w:keepLines w:val="0"/>
        <w:pageBreakBefore w:val="0"/>
        <w:widowControl/>
        <w:kinsoku/>
        <w:wordWrap/>
        <w:overflowPunct/>
        <w:topLinePunct w:val="0"/>
        <w:autoSpaceDE/>
        <w:autoSpaceDN/>
        <w:bidi w:val="0"/>
        <w:adjustRightInd/>
        <w:snapToGrid/>
        <w:spacing w:line="500" w:lineRule="exact"/>
        <w:textAlignment w:val="auto"/>
        <w:rPr>
          <w:sz w:val="28"/>
          <w:szCs w:val="28"/>
        </w:rPr>
      </w:pPr>
    </w:p>
    <w:p>
      <w:pPr>
        <w:keepNext w:val="0"/>
        <w:keepLines w:val="0"/>
        <w:pageBreakBefore w:val="0"/>
        <w:widowControl/>
        <w:kinsoku/>
        <w:wordWrap/>
        <w:overflowPunct/>
        <w:topLinePunct w:val="0"/>
        <w:autoSpaceDE/>
        <w:autoSpaceDN/>
        <w:bidi w:val="0"/>
        <w:adjustRightInd/>
        <w:snapToGrid/>
        <w:spacing w:line="500" w:lineRule="exact"/>
        <w:ind w:firstLine="640"/>
        <w:textAlignment w:val="auto"/>
        <w:rPr>
          <w:rFonts w:ascii="方正楷体_GBK" w:hAnsi="方正楷体_GBK" w:eastAsia="方正楷体_GBK" w:cs="方正楷体_GBK"/>
          <w:b/>
          <w:color w:val="000000"/>
          <w:sz w:val="28"/>
          <w:szCs w:val="28"/>
        </w:rPr>
      </w:pPr>
    </w:p>
    <w:p>
      <w:pPr>
        <w:keepNext w:val="0"/>
        <w:keepLines w:val="0"/>
        <w:pageBreakBefore w:val="0"/>
        <w:widowControl/>
        <w:kinsoku/>
        <w:wordWrap/>
        <w:overflowPunct/>
        <w:topLinePunct w:val="0"/>
        <w:autoSpaceDE/>
        <w:autoSpaceDN/>
        <w:bidi w:val="0"/>
        <w:adjustRightInd/>
        <w:snapToGrid/>
        <w:spacing w:line="500" w:lineRule="exact"/>
        <w:ind w:firstLine="640"/>
        <w:textAlignment w:val="auto"/>
        <w:rPr>
          <w:rFonts w:ascii="方正楷体_GBK" w:hAnsi="方正楷体_GBK" w:eastAsia="方正楷体_GBK" w:cs="方正楷体_GBK"/>
          <w:b/>
          <w:color w:val="000000"/>
          <w:sz w:val="28"/>
          <w:szCs w:val="28"/>
        </w:rPr>
      </w:pPr>
    </w:p>
    <w:p>
      <w:pPr>
        <w:keepNext w:val="0"/>
        <w:keepLines w:val="0"/>
        <w:pageBreakBefore w:val="0"/>
        <w:widowControl/>
        <w:kinsoku/>
        <w:wordWrap/>
        <w:overflowPunct/>
        <w:topLinePunct w:val="0"/>
        <w:autoSpaceDE/>
        <w:autoSpaceDN/>
        <w:bidi w:val="0"/>
        <w:adjustRightInd/>
        <w:snapToGrid/>
        <w:spacing w:line="500" w:lineRule="exact"/>
        <w:ind w:firstLine="640"/>
        <w:textAlignment w:val="auto"/>
        <w:rPr>
          <w:sz w:val="28"/>
          <w:szCs w:val="28"/>
        </w:rPr>
      </w:pPr>
      <w:r>
        <w:rPr>
          <w:rFonts w:ascii="方正楷体_GBK" w:hAnsi="方正楷体_GBK" w:eastAsia="方正楷体_GBK" w:cs="方正楷体_GBK"/>
          <w:b/>
          <w:color w:val="000000"/>
          <w:sz w:val="28"/>
          <w:szCs w:val="28"/>
        </w:rPr>
        <w:t>机构设置：</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sz w:val="28"/>
          <w:szCs w:val="28"/>
        </w:rPr>
      </w:pPr>
      <w:r>
        <w:rPr>
          <w:rFonts w:ascii="方正小标宋_GBK" w:hAnsi="方正小标宋_GBK" w:eastAsia="方正小标宋_GBK" w:cs="方正小标宋_GBK"/>
          <w:color w:val="000000"/>
          <w:sz w:val="28"/>
          <w:szCs w:val="28"/>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textAlignment w:val="auto"/>
              <w:rPr>
                <w:sz w:val="28"/>
                <w:szCs w:val="28"/>
              </w:rPr>
            </w:pPr>
            <w:r>
              <w:rPr>
                <w:sz w:val="28"/>
                <w:szCs w:val="28"/>
              </w:rPr>
              <w:t>单位名称</w:t>
            </w:r>
          </w:p>
        </w:tc>
        <w:tc>
          <w:tcPr>
            <w:tcW w:w="1843"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textAlignment w:val="auto"/>
              <w:rPr>
                <w:sz w:val="28"/>
                <w:szCs w:val="28"/>
              </w:rPr>
            </w:pPr>
            <w:r>
              <w:rPr>
                <w:sz w:val="28"/>
                <w:szCs w:val="28"/>
              </w:rPr>
              <w:t>单位性质</w:t>
            </w:r>
          </w:p>
        </w:tc>
        <w:tc>
          <w:tcPr>
            <w:tcW w:w="2126"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textAlignment w:val="auto"/>
              <w:rPr>
                <w:sz w:val="28"/>
                <w:szCs w:val="28"/>
              </w:rPr>
            </w:pPr>
            <w:r>
              <w:rPr>
                <w:sz w:val="28"/>
                <w:szCs w:val="28"/>
              </w:rPr>
              <w:t>单位规格</w:t>
            </w:r>
          </w:p>
        </w:tc>
        <w:tc>
          <w:tcPr>
            <w:tcW w:w="3827" w:type="dxa"/>
            <w:vAlign w:val="center"/>
          </w:tcPr>
          <w:p>
            <w:pPr>
              <w:pStyle w:val="10"/>
              <w:keepNext w:val="0"/>
              <w:keepLines w:val="0"/>
              <w:pageBreakBefore w:val="0"/>
              <w:widowControl/>
              <w:kinsoku/>
              <w:wordWrap/>
              <w:overflowPunct/>
              <w:topLinePunct w:val="0"/>
              <w:autoSpaceDE/>
              <w:autoSpaceDN/>
              <w:bidi w:val="0"/>
              <w:adjustRightInd/>
              <w:snapToGrid/>
              <w:spacing w:line="500" w:lineRule="exact"/>
              <w:textAlignment w:val="auto"/>
              <w:rPr>
                <w:sz w:val="28"/>
                <w:szCs w:val="28"/>
              </w:rPr>
            </w:pPr>
            <w:r>
              <w:rPr>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keepNext w:val="0"/>
              <w:keepLines w:val="0"/>
              <w:pageBreakBefore w:val="0"/>
              <w:widowControl/>
              <w:kinsoku/>
              <w:wordWrap/>
              <w:overflowPunct/>
              <w:topLinePunct w:val="0"/>
              <w:autoSpaceDE/>
              <w:autoSpaceDN/>
              <w:bidi w:val="0"/>
              <w:adjustRightInd/>
              <w:snapToGrid/>
              <w:spacing w:line="500" w:lineRule="exact"/>
              <w:textAlignment w:val="auto"/>
              <w:rPr>
                <w:sz w:val="28"/>
                <w:szCs w:val="28"/>
              </w:rPr>
            </w:pPr>
            <w:r>
              <w:rPr>
                <w:sz w:val="28"/>
                <w:szCs w:val="28"/>
              </w:rPr>
              <w:t>承德市工业和信息化局本级</w:t>
            </w:r>
          </w:p>
        </w:tc>
        <w:tc>
          <w:tcPr>
            <w:tcW w:w="1843" w:type="dxa"/>
            <w:vAlign w:val="center"/>
          </w:tcPr>
          <w:p>
            <w:pPr>
              <w:pStyle w:val="13"/>
              <w:keepNext w:val="0"/>
              <w:keepLines w:val="0"/>
              <w:pageBreakBefore w:val="0"/>
              <w:widowControl/>
              <w:kinsoku/>
              <w:wordWrap/>
              <w:overflowPunct/>
              <w:topLinePunct w:val="0"/>
              <w:autoSpaceDE/>
              <w:autoSpaceDN/>
              <w:bidi w:val="0"/>
              <w:adjustRightInd/>
              <w:snapToGrid/>
              <w:spacing w:line="500" w:lineRule="exact"/>
              <w:textAlignment w:val="auto"/>
              <w:rPr>
                <w:sz w:val="28"/>
                <w:szCs w:val="28"/>
              </w:rPr>
            </w:pPr>
            <w:r>
              <w:rPr>
                <w:sz w:val="28"/>
                <w:szCs w:val="28"/>
              </w:rPr>
              <w:t>行政</w:t>
            </w:r>
          </w:p>
        </w:tc>
        <w:tc>
          <w:tcPr>
            <w:tcW w:w="2126" w:type="dxa"/>
            <w:vAlign w:val="center"/>
          </w:tcPr>
          <w:p>
            <w:pPr>
              <w:pStyle w:val="13"/>
              <w:keepNext w:val="0"/>
              <w:keepLines w:val="0"/>
              <w:pageBreakBefore w:val="0"/>
              <w:widowControl/>
              <w:kinsoku/>
              <w:wordWrap/>
              <w:overflowPunct/>
              <w:topLinePunct w:val="0"/>
              <w:autoSpaceDE/>
              <w:autoSpaceDN/>
              <w:bidi w:val="0"/>
              <w:adjustRightInd/>
              <w:snapToGrid/>
              <w:spacing w:line="500" w:lineRule="exact"/>
              <w:textAlignment w:val="auto"/>
              <w:rPr>
                <w:sz w:val="28"/>
                <w:szCs w:val="28"/>
              </w:rPr>
            </w:pPr>
            <w:r>
              <w:rPr>
                <w:sz w:val="28"/>
                <w:szCs w:val="28"/>
              </w:rPr>
              <w:t>正处（县）级</w:t>
            </w:r>
          </w:p>
        </w:tc>
        <w:tc>
          <w:tcPr>
            <w:tcW w:w="3827" w:type="dxa"/>
            <w:vAlign w:val="center"/>
          </w:tcPr>
          <w:p>
            <w:pPr>
              <w:pStyle w:val="13"/>
              <w:keepNext w:val="0"/>
              <w:keepLines w:val="0"/>
              <w:pageBreakBefore w:val="0"/>
              <w:widowControl/>
              <w:kinsoku/>
              <w:wordWrap/>
              <w:overflowPunct/>
              <w:topLinePunct w:val="0"/>
              <w:autoSpaceDE/>
              <w:autoSpaceDN/>
              <w:bidi w:val="0"/>
              <w:adjustRightInd/>
              <w:snapToGrid/>
              <w:spacing w:line="500" w:lineRule="exact"/>
              <w:textAlignment w:val="auto"/>
              <w:rPr>
                <w:sz w:val="28"/>
                <w:szCs w:val="28"/>
              </w:rPr>
            </w:pPr>
            <w:r>
              <w:rPr>
                <w:sz w:val="28"/>
                <w:szCs w:val="28"/>
              </w:rPr>
              <w:t>财政拨款</w:t>
            </w:r>
          </w:p>
        </w:tc>
      </w:tr>
    </w:tbl>
    <w:p>
      <w:pPr>
        <w:keepNext w:val="0"/>
        <w:keepLines w:val="0"/>
        <w:pageBreakBefore w:val="0"/>
        <w:widowControl/>
        <w:kinsoku/>
        <w:wordWrap/>
        <w:overflowPunct/>
        <w:topLinePunct w:val="0"/>
        <w:autoSpaceDE/>
        <w:autoSpaceDN/>
        <w:bidi w:val="0"/>
        <w:adjustRightInd/>
        <w:snapToGrid/>
        <w:spacing w:before="10" w:after="10" w:line="500" w:lineRule="exact"/>
        <w:ind w:firstLine="640"/>
        <w:textAlignment w:val="auto"/>
        <w:outlineLvl w:val="2"/>
        <w:rPr>
          <w:sz w:val="32"/>
          <w:szCs w:val="32"/>
        </w:rPr>
      </w:pPr>
      <w:bookmarkStart w:id="10" w:name="_Toc_3_3_0000000011"/>
      <w:r>
        <w:rPr>
          <w:rFonts w:ascii="黑体" w:hAnsi="黑体" w:eastAsia="黑体" w:cs="黑体"/>
          <w:color w:val="000000"/>
          <w:sz w:val="32"/>
          <w:szCs w:val="32"/>
        </w:rPr>
        <w:t>二、部门预算安排的总体情况</w:t>
      </w:r>
      <w:bookmarkEnd w:id="10"/>
    </w:p>
    <w:p>
      <w:pPr>
        <w:keepNext w:val="0"/>
        <w:keepLines w:val="0"/>
        <w:pageBreakBefore w:val="0"/>
        <w:widowControl/>
        <w:kinsoku/>
        <w:wordWrap/>
        <w:overflowPunct/>
        <w:topLinePunct w:val="0"/>
        <w:autoSpaceDE/>
        <w:autoSpaceDN/>
        <w:bidi w:val="0"/>
        <w:adjustRightInd/>
        <w:snapToGrid/>
        <w:spacing w:line="500" w:lineRule="exact"/>
        <w:ind w:firstLine="64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按照预算管理有关规定，目前我</w:t>
      </w:r>
      <w:r>
        <w:rPr>
          <w:rFonts w:hint="eastAsia" w:ascii="宋体" w:hAnsi="宋体" w:eastAsia="宋体" w:cs="宋体"/>
          <w:color w:val="auto"/>
          <w:sz w:val="28"/>
          <w:szCs w:val="28"/>
          <w:lang w:val="en-US" w:eastAsia="zh-CN"/>
        </w:rPr>
        <w:t>市</w:t>
      </w:r>
      <w:r>
        <w:rPr>
          <w:rFonts w:hint="eastAsia" w:ascii="宋体" w:hAnsi="宋体" w:eastAsia="宋体" w:cs="宋体"/>
          <w:color w:val="auto"/>
          <w:sz w:val="28"/>
          <w:szCs w:val="28"/>
        </w:rPr>
        <w:t>部门预算的编制实行综合预算制度，即全部收入和支出都反映</w:t>
      </w:r>
      <w:r>
        <w:rPr>
          <w:rFonts w:hint="eastAsia" w:ascii="宋体" w:hAnsi="宋体" w:eastAsia="宋体" w:cs="宋体"/>
          <w:color w:val="auto"/>
          <w:sz w:val="28"/>
          <w:szCs w:val="28"/>
          <w:lang w:eastAsia="zh-CN"/>
        </w:rPr>
        <w:t>在</w:t>
      </w:r>
      <w:r>
        <w:rPr>
          <w:rFonts w:hint="eastAsia" w:ascii="宋体" w:hAnsi="宋体" w:eastAsia="宋体" w:cs="宋体"/>
          <w:color w:val="auto"/>
          <w:sz w:val="28"/>
          <w:szCs w:val="28"/>
        </w:rPr>
        <w:t>预算中。</w:t>
      </w:r>
    </w:p>
    <w:p>
      <w:pPr>
        <w:keepNext w:val="0"/>
        <w:keepLines w:val="0"/>
        <w:pageBreakBefore w:val="0"/>
        <w:widowControl/>
        <w:kinsoku/>
        <w:wordWrap/>
        <w:overflowPunct/>
        <w:topLinePunct w:val="0"/>
        <w:autoSpaceDE/>
        <w:autoSpaceDN/>
        <w:bidi w:val="0"/>
        <w:adjustRightInd/>
        <w:snapToGrid/>
        <w:spacing w:line="500" w:lineRule="exact"/>
        <w:ind w:firstLine="640"/>
        <w:textAlignment w:val="auto"/>
        <w:rPr>
          <w:rFonts w:hint="eastAsia" w:ascii="仿宋" w:hAnsi="仿宋" w:eastAsia="仿宋" w:cs="仿宋"/>
          <w:color w:val="auto"/>
          <w:sz w:val="28"/>
          <w:szCs w:val="28"/>
          <w:lang w:val="en-US" w:eastAsia="zh-CN"/>
        </w:rPr>
      </w:pPr>
      <w:r>
        <w:rPr>
          <w:rFonts w:hint="eastAsia" w:ascii="宋体" w:hAnsi="宋体" w:eastAsia="宋体" w:cs="宋体"/>
          <w:color w:val="auto"/>
          <w:sz w:val="28"/>
          <w:szCs w:val="28"/>
          <w:lang w:eastAsia="zh-CN"/>
        </w:rPr>
        <w:t>以下收入支出为本部门收入支出的汇总</w:t>
      </w:r>
      <w:r>
        <w:rPr>
          <w:rFonts w:hint="eastAsia" w:ascii="宋体" w:hAnsi="宋体" w:eastAsia="宋体" w:cs="宋体"/>
          <w:color w:val="auto"/>
          <w:sz w:val="28"/>
          <w:szCs w:val="28"/>
          <w:lang w:val="en-US" w:eastAsia="zh-CN"/>
        </w:rPr>
        <w:t>,预算单位包括承德市工业和信息化局，下属事业单位不是预算单位，无独立财务管理</w:t>
      </w:r>
      <w:r>
        <w:rPr>
          <w:rFonts w:hint="eastAsia" w:ascii="仿宋" w:hAnsi="仿宋" w:eastAsia="仿宋" w:cs="仿宋"/>
          <w:color w:val="auto"/>
          <w:sz w:val="28"/>
          <w:szCs w:val="28"/>
          <w:lang w:val="en-US" w:eastAsia="zh-CN"/>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1、</w:t>
      </w:r>
      <w:r>
        <w:rPr>
          <w:rFonts w:ascii="Times New Roman" w:hAnsi="Times New Roman" w:eastAsia="方正仿宋_GBK" w:cs="Times New Roman"/>
          <w:color w:val="auto"/>
          <w:sz w:val="28"/>
          <w:szCs w:val="28"/>
        </w:rPr>
        <w:t>收入说明</w:t>
      </w:r>
      <w:r>
        <w:rPr>
          <w:rFonts w:hint="eastAsia" w:ascii="Times New Roman" w:hAnsi="Times New Roman" w:eastAsia="方正仿宋_GBK" w:cs="Times New Roman"/>
          <w:color w:val="auto"/>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line="500" w:lineRule="exact"/>
        <w:ind w:firstLine="64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反映本部门当年全部收入，2022年</w:t>
      </w:r>
      <w:r>
        <w:rPr>
          <w:rFonts w:hint="eastAsia" w:ascii="宋体" w:hAnsi="宋体" w:eastAsia="宋体" w:cs="宋体"/>
          <w:color w:val="auto"/>
          <w:sz w:val="28"/>
          <w:szCs w:val="28"/>
          <w:lang w:eastAsia="zh-CN"/>
        </w:rPr>
        <w:t>预算收入</w:t>
      </w:r>
      <w:r>
        <w:rPr>
          <w:rFonts w:hint="eastAsia" w:ascii="宋体" w:hAnsi="宋体" w:eastAsia="宋体" w:cs="宋体"/>
          <w:color w:val="auto"/>
          <w:sz w:val="28"/>
          <w:szCs w:val="28"/>
          <w:lang w:val="en-US" w:eastAsia="zh-CN"/>
        </w:rPr>
        <w:t>3152.95</w:t>
      </w:r>
      <w:r>
        <w:rPr>
          <w:rFonts w:hint="eastAsia" w:ascii="宋体" w:hAnsi="宋体" w:eastAsia="宋体" w:cs="宋体"/>
          <w:color w:val="auto"/>
          <w:sz w:val="28"/>
          <w:szCs w:val="28"/>
          <w:lang w:eastAsia="zh-CN"/>
        </w:rPr>
        <w:t>万元，其中：一般公共预算收入</w:t>
      </w:r>
      <w:r>
        <w:rPr>
          <w:rFonts w:hint="eastAsia" w:ascii="宋体" w:hAnsi="宋体" w:eastAsia="宋体" w:cs="宋体"/>
          <w:color w:val="auto"/>
          <w:sz w:val="28"/>
          <w:szCs w:val="28"/>
          <w:lang w:val="en-US" w:eastAsia="zh-CN"/>
        </w:rPr>
        <w:t>3152.95</w:t>
      </w:r>
      <w:r>
        <w:rPr>
          <w:rFonts w:hint="eastAsia" w:ascii="宋体" w:hAnsi="宋体" w:eastAsia="宋体" w:cs="宋体"/>
          <w:color w:val="auto"/>
          <w:sz w:val="28"/>
          <w:szCs w:val="28"/>
          <w:lang w:eastAsia="zh-CN"/>
        </w:rPr>
        <w:t>万元、政府性基金预算收入</w:t>
      </w:r>
      <w:r>
        <w:rPr>
          <w:rFonts w:hint="eastAsia" w:ascii="宋体" w:hAnsi="宋体" w:eastAsia="宋体" w:cs="宋体"/>
          <w:color w:val="auto"/>
          <w:sz w:val="28"/>
          <w:szCs w:val="28"/>
          <w:lang w:val="en-US" w:eastAsia="zh-CN"/>
        </w:rPr>
        <w:t>0万元、国有资本经营预算收入0万元。</w:t>
      </w:r>
    </w:p>
    <w:p>
      <w:pPr>
        <w:keepNext w:val="0"/>
        <w:keepLines w:val="0"/>
        <w:pageBreakBefore w:val="0"/>
        <w:widowControl/>
        <w:kinsoku/>
        <w:wordWrap/>
        <w:overflowPunct/>
        <w:topLinePunct w:val="0"/>
        <w:autoSpaceDE/>
        <w:autoSpaceDN/>
        <w:bidi w:val="0"/>
        <w:adjustRightInd/>
        <w:snapToGrid/>
        <w:spacing w:line="500" w:lineRule="exact"/>
        <w:ind w:firstLine="64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支出说明</w:t>
      </w:r>
    </w:p>
    <w:p>
      <w:pPr>
        <w:keepNext w:val="0"/>
        <w:keepLines w:val="0"/>
        <w:pageBreakBefore w:val="0"/>
        <w:widowControl/>
        <w:kinsoku/>
        <w:wordWrap/>
        <w:overflowPunct/>
        <w:topLinePunct w:val="0"/>
        <w:autoSpaceDE/>
        <w:autoSpaceDN/>
        <w:bidi w:val="0"/>
        <w:adjustRightInd/>
        <w:snapToGrid/>
        <w:spacing w:line="500" w:lineRule="exact"/>
        <w:ind w:firstLine="64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收支预算总表支出栏、基本支出表、项目支出表按经济分类和支出功能分类科目编制，反映承德市工业和信息化局年度部门预算中支出预算的总体情况。</w:t>
      </w:r>
      <w:r>
        <w:rPr>
          <w:rFonts w:hint="eastAsia" w:ascii="宋体" w:hAnsi="宋体" w:eastAsia="宋体" w:cs="宋体"/>
          <w:color w:val="auto"/>
          <w:sz w:val="28"/>
          <w:szCs w:val="28"/>
          <w:lang w:eastAsia="zh-CN"/>
        </w:rPr>
        <w:t>20</w:t>
      </w:r>
      <w:r>
        <w:rPr>
          <w:rFonts w:hint="eastAsia" w:ascii="宋体" w:hAnsi="宋体" w:eastAsia="宋体" w:cs="宋体"/>
          <w:color w:val="auto"/>
          <w:sz w:val="28"/>
          <w:szCs w:val="28"/>
          <w:lang w:val="en-US" w:eastAsia="zh-CN"/>
        </w:rPr>
        <w:t>22</w:t>
      </w:r>
      <w:r>
        <w:rPr>
          <w:rFonts w:hint="eastAsia" w:ascii="宋体" w:hAnsi="宋体" w:eastAsia="宋体" w:cs="宋体"/>
          <w:color w:val="auto"/>
          <w:sz w:val="28"/>
          <w:szCs w:val="28"/>
          <w:lang w:eastAsia="zh-CN"/>
        </w:rPr>
        <w:t>年部门支出预算为</w:t>
      </w:r>
      <w:r>
        <w:rPr>
          <w:rFonts w:hint="eastAsia" w:ascii="宋体" w:hAnsi="宋体" w:eastAsia="宋体" w:cs="宋体"/>
          <w:color w:val="auto"/>
          <w:sz w:val="28"/>
          <w:szCs w:val="28"/>
          <w:lang w:val="en-US" w:eastAsia="zh-CN"/>
        </w:rPr>
        <w:t>3152.95</w:t>
      </w:r>
      <w:r>
        <w:rPr>
          <w:rFonts w:hint="eastAsia" w:ascii="宋体" w:hAnsi="宋体" w:eastAsia="宋体" w:cs="宋体"/>
          <w:color w:val="auto"/>
          <w:sz w:val="28"/>
          <w:szCs w:val="28"/>
          <w:lang w:eastAsia="zh-CN"/>
        </w:rPr>
        <w:t>万元，其中基本支出</w:t>
      </w:r>
      <w:r>
        <w:rPr>
          <w:rFonts w:hint="eastAsia" w:ascii="宋体" w:hAnsi="宋体" w:eastAsia="宋体" w:cs="宋体"/>
          <w:color w:val="auto"/>
          <w:sz w:val="28"/>
          <w:szCs w:val="28"/>
          <w:lang w:val="en-US" w:eastAsia="zh-CN"/>
        </w:rPr>
        <w:t>2657.95</w:t>
      </w:r>
      <w:r>
        <w:rPr>
          <w:rFonts w:hint="eastAsia" w:ascii="宋体" w:hAnsi="宋体" w:eastAsia="宋体" w:cs="宋体"/>
          <w:color w:val="auto"/>
          <w:sz w:val="28"/>
          <w:szCs w:val="28"/>
          <w:lang w:eastAsia="zh-CN"/>
        </w:rPr>
        <w:t>万元，包括人员经费</w:t>
      </w:r>
      <w:r>
        <w:rPr>
          <w:rFonts w:hint="eastAsia" w:ascii="宋体" w:hAnsi="宋体" w:eastAsia="宋体" w:cs="宋体"/>
          <w:color w:val="auto"/>
          <w:sz w:val="28"/>
          <w:szCs w:val="28"/>
          <w:lang w:val="en-US" w:eastAsia="zh-CN"/>
        </w:rPr>
        <w:t>2460.91万元、</w:t>
      </w:r>
      <w:r>
        <w:rPr>
          <w:rFonts w:hint="eastAsia" w:ascii="宋体" w:hAnsi="宋体" w:eastAsia="宋体" w:cs="宋体"/>
          <w:color w:val="auto"/>
          <w:sz w:val="28"/>
          <w:szCs w:val="28"/>
          <w:lang w:eastAsia="zh-CN"/>
        </w:rPr>
        <w:t>日常公用经费</w:t>
      </w:r>
      <w:r>
        <w:rPr>
          <w:rFonts w:hint="eastAsia" w:ascii="宋体" w:hAnsi="宋体" w:eastAsia="宋体" w:cs="宋体"/>
          <w:color w:val="auto"/>
          <w:sz w:val="28"/>
          <w:szCs w:val="28"/>
          <w:lang w:val="en-US" w:eastAsia="zh-CN"/>
        </w:rPr>
        <w:t>197.04万元；</w:t>
      </w:r>
      <w:r>
        <w:rPr>
          <w:rFonts w:hint="eastAsia" w:ascii="宋体" w:hAnsi="宋体" w:eastAsia="宋体" w:cs="宋体"/>
          <w:color w:val="auto"/>
          <w:sz w:val="28"/>
          <w:szCs w:val="28"/>
          <w:lang w:eastAsia="zh-CN"/>
        </w:rPr>
        <w:t>项目支出</w:t>
      </w:r>
      <w:r>
        <w:rPr>
          <w:rFonts w:hint="eastAsia" w:ascii="宋体" w:hAnsi="宋体" w:eastAsia="宋体" w:cs="宋体"/>
          <w:color w:val="auto"/>
          <w:sz w:val="28"/>
          <w:szCs w:val="28"/>
          <w:lang w:val="en-US" w:eastAsia="zh-CN"/>
        </w:rPr>
        <w:t>495.00万元，主要为</w:t>
      </w:r>
      <w:r>
        <w:rPr>
          <w:rFonts w:hint="eastAsia" w:ascii="宋体" w:hAnsi="宋体" w:eastAsia="宋体" w:cs="宋体"/>
          <w:color w:val="auto"/>
          <w:sz w:val="28"/>
          <w:szCs w:val="28"/>
          <w:lang w:eastAsia="zh-CN"/>
        </w:rPr>
        <w:t>工业和信息化工作经费</w:t>
      </w:r>
      <w:r>
        <w:rPr>
          <w:rFonts w:hint="eastAsia" w:ascii="宋体" w:hAnsi="宋体" w:eastAsia="宋体" w:cs="宋体"/>
          <w:color w:val="auto"/>
          <w:sz w:val="28"/>
          <w:szCs w:val="28"/>
          <w:lang w:val="en-US" w:eastAsia="zh-CN"/>
        </w:rPr>
        <w:t>80.00万元、</w:t>
      </w:r>
      <w:r>
        <w:rPr>
          <w:rFonts w:hint="eastAsia" w:ascii="宋体" w:hAnsi="宋体" w:eastAsia="宋体" w:cs="宋体"/>
          <w:color w:val="auto"/>
          <w:sz w:val="28"/>
          <w:szCs w:val="28"/>
          <w:lang w:eastAsia="zh-CN"/>
        </w:rPr>
        <w:t>京津冀工业固废综合利用产业对接洽谈会</w:t>
      </w:r>
      <w:r>
        <w:rPr>
          <w:rFonts w:hint="eastAsia" w:ascii="宋体" w:hAnsi="宋体" w:eastAsia="宋体" w:cs="宋体"/>
          <w:color w:val="auto"/>
          <w:sz w:val="28"/>
          <w:szCs w:val="28"/>
          <w:lang w:val="en-US" w:eastAsia="zh-CN"/>
        </w:rPr>
        <w:t>25.00万元、</w:t>
      </w:r>
      <w:r>
        <w:rPr>
          <w:rFonts w:hint="eastAsia" w:ascii="宋体" w:hAnsi="宋体" w:eastAsia="宋体" w:cs="宋体"/>
          <w:color w:val="auto"/>
          <w:sz w:val="28"/>
          <w:szCs w:val="28"/>
          <w:lang w:eastAsia="zh-CN"/>
        </w:rPr>
        <w:t>工业高质量发展“十四五”规划编制、新型建材产业“十四五”规划编制、智能装备制造产业“十四五”规划编制经费</w:t>
      </w:r>
      <w:r>
        <w:rPr>
          <w:rFonts w:hint="eastAsia" w:ascii="宋体" w:hAnsi="宋体" w:eastAsia="宋体" w:cs="宋体"/>
          <w:color w:val="auto"/>
          <w:sz w:val="28"/>
          <w:szCs w:val="28"/>
          <w:lang w:val="en-US" w:eastAsia="zh-CN"/>
        </w:rPr>
        <w:t>50.00万元、</w:t>
      </w:r>
      <w:r>
        <w:rPr>
          <w:rFonts w:hint="eastAsia" w:ascii="宋体" w:hAnsi="宋体" w:eastAsia="宋体" w:cs="宋体"/>
          <w:color w:val="auto"/>
          <w:sz w:val="28"/>
          <w:szCs w:val="28"/>
          <w:lang w:eastAsia="zh-CN"/>
        </w:rPr>
        <w:t>工业和信息化产业发展资金</w:t>
      </w:r>
      <w:r>
        <w:rPr>
          <w:rFonts w:hint="eastAsia" w:ascii="宋体" w:hAnsi="宋体" w:eastAsia="宋体" w:cs="宋体"/>
          <w:color w:val="auto"/>
          <w:sz w:val="28"/>
          <w:szCs w:val="28"/>
          <w:lang w:val="en-US" w:eastAsia="zh-CN"/>
        </w:rPr>
        <w:t>200.00万元、</w:t>
      </w:r>
      <w:r>
        <w:rPr>
          <w:rFonts w:hint="eastAsia" w:ascii="宋体" w:hAnsi="宋体" w:eastAsia="宋体" w:cs="宋体"/>
          <w:color w:val="auto"/>
          <w:sz w:val="28"/>
          <w:szCs w:val="28"/>
          <w:lang w:eastAsia="zh-CN"/>
        </w:rPr>
        <w:t>中国数字经济博览会承德会展</w:t>
      </w:r>
      <w:r>
        <w:rPr>
          <w:rFonts w:hint="eastAsia" w:ascii="宋体" w:hAnsi="宋体" w:eastAsia="宋体" w:cs="宋体"/>
          <w:color w:val="auto"/>
          <w:sz w:val="28"/>
          <w:szCs w:val="28"/>
          <w:lang w:val="en-US" w:eastAsia="zh-CN"/>
        </w:rPr>
        <w:t>100万元、</w:t>
      </w:r>
      <w:r>
        <w:rPr>
          <w:rFonts w:hint="eastAsia" w:ascii="宋体" w:hAnsi="宋体" w:eastAsia="宋体" w:cs="宋体"/>
          <w:color w:val="auto"/>
          <w:sz w:val="28"/>
          <w:szCs w:val="28"/>
          <w:lang w:eastAsia="zh-CN"/>
        </w:rPr>
        <w:t>组建国家钒钛产业联盟会费</w:t>
      </w:r>
      <w:r>
        <w:rPr>
          <w:rFonts w:hint="eastAsia" w:ascii="宋体" w:hAnsi="宋体" w:eastAsia="宋体" w:cs="宋体"/>
          <w:color w:val="auto"/>
          <w:sz w:val="28"/>
          <w:szCs w:val="28"/>
          <w:lang w:val="en-US" w:eastAsia="zh-CN"/>
        </w:rPr>
        <w:t>40.00万元。</w:t>
      </w:r>
    </w:p>
    <w:p>
      <w:pPr>
        <w:keepNext w:val="0"/>
        <w:keepLines w:val="0"/>
        <w:pageBreakBefore w:val="0"/>
        <w:widowControl/>
        <w:kinsoku/>
        <w:wordWrap/>
        <w:overflowPunct/>
        <w:topLinePunct w:val="0"/>
        <w:autoSpaceDE/>
        <w:autoSpaceDN/>
        <w:bidi w:val="0"/>
        <w:adjustRightInd/>
        <w:snapToGrid/>
        <w:spacing w:line="500" w:lineRule="exact"/>
        <w:ind w:firstLine="562" w:firstLineChars="200"/>
        <w:textAlignment w:val="auto"/>
        <w:rPr>
          <w:rFonts w:hint="default" w:ascii="方正仿宋_GBK" w:hAnsi="方正仿宋_GBK" w:eastAsia="方正仿宋_GBK" w:cs="方正仿宋_GBK"/>
          <w:b/>
          <w:color w:val="000000"/>
          <w:sz w:val="28"/>
          <w:szCs w:val="28"/>
          <w:lang w:val="en-US" w:eastAsia="zh-CN"/>
        </w:rPr>
      </w:pPr>
    </w:p>
    <w:p>
      <w:pPr>
        <w:keepNext w:val="0"/>
        <w:keepLines w:val="0"/>
        <w:pageBreakBefore w:val="0"/>
        <w:widowControl/>
        <w:kinsoku/>
        <w:wordWrap/>
        <w:overflowPunct/>
        <w:topLinePunct w:val="0"/>
        <w:autoSpaceDE/>
        <w:autoSpaceDN/>
        <w:bidi w:val="0"/>
        <w:adjustRightInd/>
        <w:snapToGrid/>
        <w:spacing w:line="500" w:lineRule="exact"/>
        <w:ind w:firstLine="64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比上年增减情况</w:t>
      </w:r>
    </w:p>
    <w:p>
      <w:pPr>
        <w:keepNext w:val="0"/>
        <w:keepLines w:val="0"/>
        <w:pageBreakBefore w:val="0"/>
        <w:widowControl/>
        <w:kinsoku/>
        <w:wordWrap/>
        <w:overflowPunct/>
        <w:topLinePunct w:val="0"/>
        <w:autoSpaceDE/>
        <w:autoSpaceDN/>
        <w:bidi w:val="0"/>
        <w:adjustRightInd/>
        <w:snapToGrid/>
        <w:spacing w:line="500" w:lineRule="exact"/>
        <w:ind w:firstLine="64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2022年预算收支安排3152.95万元。较2021年预算增加486.49万元，同比增长18.24%。其中：基本支出增加71.49万元，同比增加2.76%，主要原因为在职人员增加；项目支出增加415万元，同比增加518.75%，主要原因为项目预算增加。</w:t>
      </w:r>
    </w:p>
    <w:p>
      <w:pPr>
        <w:keepNext w:val="0"/>
        <w:keepLines w:val="0"/>
        <w:pageBreakBefore w:val="0"/>
        <w:widowControl/>
        <w:kinsoku/>
        <w:wordWrap/>
        <w:overflowPunct/>
        <w:topLinePunct w:val="0"/>
        <w:autoSpaceDE/>
        <w:autoSpaceDN/>
        <w:bidi w:val="0"/>
        <w:adjustRightInd/>
        <w:snapToGrid/>
        <w:spacing w:before="10" w:after="10" w:line="500" w:lineRule="exact"/>
        <w:ind w:firstLine="640"/>
        <w:textAlignment w:val="auto"/>
        <w:outlineLvl w:val="2"/>
        <w:rPr>
          <w:sz w:val="32"/>
          <w:szCs w:val="32"/>
        </w:rPr>
      </w:pPr>
      <w:bookmarkStart w:id="11" w:name="_Toc_3_3_0000000012"/>
      <w:r>
        <w:rPr>
          <w:rFonts w:ascii="黑体" w:hAnsi="黑体" w:eastAsia="黑体" w:cs="黑体"/>
          <w:color w:val="000000"/>
          <w:sz w:val="32"/>
          <w:szCs w:val="32"/>
        </w:rPr>
        <w:t>三、机关运行经费安排情况</w:t>
      </w:r>
      <w:bookmarkEnd w:id="11"/>
    </w:p>
    <w:p>
      <w:pPr>
        <w:keepNext w:val="0"/>
        <w:keepLines w:val="0"/>
        <w:pageBreakBefore w:val="0"/>
        <w:widowControl/>
        <w:kinsoku/>
        <w:wordWrap/>
        <w:overflowPunct/>
        <w:topLinePunct w:val="0"/>
        <w:autoSpaceDE/>
        <w:autoSpaceDN/>
        <w:bidi w:val="0"/>
        <w:adjustRightInd/>
        <w:snapToGrid/>
        <w:spacing w:line="500" w:lineRule="exact"/>
        <w:ind w:firstLine="64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机关运行经费共计安排197.04万元，主要用于保证机关正常运转的办公及印刷费、邮电费、差旅费、会议费、福利费、专用材料及一般设备购置费、办公用房水电费、办公用房取暖费、日常维修费、办公楼物业管理费、公务车运行维护费等支出。其中：办公费21.43万元、邮电费36.00万元、因公出国费10.00万元、公务接待费0.91万元（不含项目经费中5.00万元公务接待费）、福利费9.42万元、工会经费8.04万元、公务用车运行费2.8万元（不含项目经费中5.00万元公车运行费）、公务交通补贴53.09万元、党组织活动经费1.69万元、离退休人员公用经费20.69万元、离退休人员福利费32.97万元。较上年公开数据减少4.88万元，同比降低2.41%。减少原因为人员减少经费降低。</w:t>
      </w:r>
    </w:p>
    <w:p>
      <w:pPr>
        <w:keepNext w:val="0"/>
        <w:keepLines w:val="0"/>
        <w:pageBreakBefore w:val="0"/>
        <w:widowControl/>
        <w:kinsoku/>
        <w:wordWrap/>
        <w:overflowPunct/>
        <w:topLinePunct w:val="0"/>
        <w:autoSpaceDE/>
        <w:autoSpaceDN/>
        <w:bidi w:val="0"/>
        <w:adjustRightInd/>
        <w:snapToGrid/>
        <w:spacing w:before="10" w:after="10" w:line="500" w:lineRule="exact"/>
        <w:ind w:firstLine="640"/>
        <w:textAlignment w:val="auto"/>
        <w:outlineLvl w:val="2"/>
        <w:rPr>
          <w:sz w:val="32"/>
          <w:szCs w:val="32"/>
        </w:rPr>
      </w:pPr>
      <w:bookmarkStart w:id="12" w:name="_Toc_3_3_0000000013"/>
      <w:r>
        <w:rPr>
          <w:rFonts w:ascii="黑体" w:hAnsi="黑体" w:eastAsia="黑体" w:cs="黑体"/>
          <w:color w:val="000000"/>
          <w:sz w:val="32"/>
          <w:szCs w:val="32"/>
        </w:rPr>
        <w:t>四、财政拨款“三公”经费预算情况及增减变化原因</w:t>
      </w:r>
      <w:bookmarkEnd w:id="12"/>
    </w:p>
    <w:p>
      <w:pPr>
        <w:keepNext w:val="0"/>
        <w:keepLines w:val="0"/>
        <w:pageBreakBefore w:val="0"/>
        <w:widowControl/>
        <w:kinsoku/>
        <w:wordWrap/>
        <w:overflowPunct/>
        <w:topLinePunct w:val="0"/>
        <w:autoSpaceDE/>
        <w:autoSpaceDN/>
        <w:bidi w:val="0"/>
        <w:adjustRightInd/>
        <w:snapToGrid/>
        <w:spacing w:line="500" w:lineRule="exact"/>
        <w:ind w:firstLine="64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2022年，我部门财政拨款“三公”经费预算安排23.71万元，其中：因公出国（境）费10.00万元；公务用车购置及运维费7.80万元（其中：公务用车运行费7.80万元)；公务接待费5.91万元。“三公”经费比上年预算减少1.73万元，同比降低6.80%。减少的主要原因是公车数量减少，运行费用减少。节约开支，减少公务接待。其中：因公出国（境）费与上年预算持平；公务用车购置及运维费比上年预算减少</w:t>
      </w:r>
      <w:bookmarkStart w:id="13" w:name="_Toc_3_3_0000000014"/>
      <w:r>
        <w:rPr>
          <w:rFonts w:hint="eastAsia" w:ascii="宋体" w:hAnsi="宋体" w:eastAsia="宋体" w:cs="宋体"/>
          <w:color w:val="auto"/>
          <w:sz w:val="28"/>
          <w:szCs w:val="28"/>
          <w:lang w:val="en-US" w:eastAsia="zh-CN"/>
        </w:rPr>
        <w:t>1.40万元，同比降低15.21%，减少的主要原因是公车数量减少，运行费用减少。公务接待费比上年预算减少0.33万元，同比降低5.28%，减少的主要原因是节约开支，减少公务接待。</w:t>
      </w:r>
    </w:p>
    <w:p>
      <w:pPr>
        <w:keepNext w:val="0"/>
        <w:keepLines w:val="0"/>
        <w:pageBreakBefore w:val="0"/>
        <w:widowControl/>
        <w:numPr>
          <w:ilvl w:val="0"/>
          <w:numId w:val="1"/>
        </w:numPr>
        <w:kinsoku/>
        <w:wordWrap/>
        <w:overflowPunct/>
        <w:topLinePunct w:val="0"/>
        <w:autoSpaceDE/>
        <w:autoSpaceDN/>
        <w:bidi w:val="0"/>
        <w:adjustRightInd/>
        <w:snapToGrid/>
        <w:spacing w:before="10" w:after="10" w:line="500" w:lineRule="exact"/>
        <w:ind w:firstLine="640"/>
        <w:textAlignment w:val="auto"/>
        <w:outlineLvl w:val="2"/>
        <w:rPr>
          <w:rFonts w:ascii="黑体" w:hAnsi="黑体" w:eastAsia="黑体" w:cs="黑体"/>
          <w:color w:val="000000"/>
          <w:sz w:val="28"/>
          <w:szCs w:val="28"/>
        </w:rPr>
      </w:pPr>
      <w:r>
        <w:rPr>
          <w:rFonts w:ascii="黑体" w:hAnsi="黑体" w:eastAsia="黑体" w:cs="黑体"/>
          <w:color w:val="000000"/>
          <w:sz w:val="32"/>
          <w:szCs w:val="32"/>
        </w:rPr>
        <w:t>预算绩效信息</w:t>
      </w:r>
      <w:bookmarkEnd w:id="13"/>
    </w:p>
    <w:p>
      <w:pPr>
        <w:keepNext w:val="0"/>
        <w:keepLines w:val="0"/>
        <w:pageBreakBefore w:val="0"/>
        <w:widowControl/>
        <w:kinsoku/>
        <w:wordWrap/>
        <w:overflowPunct/>
        <w:topLinePunct w:val="0"/>
        <w:autoSpaceDE/>
        <w:autoSpaceDN/>
        <w:bidi w:val="0"/>
        <w:adjustRightInd/>
        <w:snapToGrid/>
        <w:spacing w:line="500" w:lineRule="exact"/>
        <w:ind w:firstLine="640"/>
        <w:textAlignment w:val="auto"/>
        <w:rPr>
          <w:sz w:val="32"/>
          <w:szCs w:val="32"/>
        </w:rPr>
      </w:pPr>
      <w:r>
        <w:rPr>
          <w:rFonts w:ascii="方正楷体_GBK" w:hAnsi="方正楷体_GBK" w:eastAsia="方正楷体_GBK" w:cs="方正楷体_GBK"/>
          <w:b/>
          <w:color w:val="000000"/>
          <w:sz w:val="32"/>
          <w:szCs w:val="32"/>
        </w:rPr>
        <w:t>第一部分 部门整体绩效目标</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rPr>
          <w:sz w:val="28"/>
          <w:szCs w:val="28"/>
        </w:rPr>
      </w:pPr>
      <w:r>
        <w:rPr>
          <w:rFonts w:eastAsia="方正仿宋_GBK"/>
          <w:color w:val="000000"/>
          <w:sz w:val="28"/>
          <w:szCs w:val="28"/>
        </w:rPr>
        <w:t>（一）总体绩效目标</w:t>
      </w:r>
    </w:p>
    <w:p>
      <w:pPr>
        <w:pStyle w:val="21"/>
        <w:keepNext w:val="0"/>
        <w:keepLines w:val="0"/>
        <w:pageBreakBefore w:val="0"/>
        <w:widowControl/>
        <w:kinsoku/>
        <w:wordWrap/>
        <w:overflowPunct/>
        <w:topLinePunct w:val="0"/>
        <w:autoSpaceDE/>
        <w:autoSpaceDN/>
        <w:bidi w:val="0"/>
        <w:adjustRightInd/>
        <w:snapToGrid/>
        <w:spacing w:line="500" w:lineRule="exact"/>
        <w:textAlignment w:val="auto"/>
        <w:rPr>
          <w:sz w:val="28"/>
          <w:szCs w:val="28"/>
        </w:rPr>
      </w:pPr>
      <w:r>
        <w:rPr>
          <w:sz w:val="28"/>
          <w:szCs w:val="28"/>
        </w:rPr>
        <w:t>坚持以习近平新时代中国特色社会主义思想为指导，全面贯彻落实党的十九大和十九届历次全会精神，坚持稳中求进工作总基调，完整、准确、全面贯彻新发展理念，构建新发展格局，推动高质量发展，坚持以供给侧结构性改革为主线，在统筹今明两年政策衔接的基础上，上下联动、齐心协力，抓投资上项目，调整产业结构，优化营商环境，助企纾困解难，搞活市场主体，加快绿色转型，持续做好“六稳”六保”工作，促进工业经济平稳运行和提质升级，推动全市工业高端化、智能化、绿色化、服务化发展。</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rPr>
          <w:sz w:val="28"/>
          <w:szCs w:val="28"/>
        </w:rPr>
      </w:pPr>
      <w:r>
        <w:rPr>
          <w:rFonts w:eastAsia="方正仿宋_GBK"/>
          <w:color w:val="000000"/>
          <w:sz w:val="28"/>
          <w:szCs w:val="28"/>
        </w:rPr>
        <w:t>（二）分项绩效目标</w:t>
      </w:r>
    </w:p>
    <w:p>
      <w:pPr>
        <w:pStyle w:val="22"/>
        <w:keepNext w:val="0"/>
        <w:keepLines w:val="0"/>
        <w:pageBreakBefore w:val="0"/>
        <w:widowControl/>
        <w:kinsoku/>
        <w:wordWrap/>
        <w:overflowPunct/>
        <w:topLinePunct w:val="0"/>
        <w:autoSpaceDE/>
        <w:autoSpaceDN/>
        <w:bidi w:val="0"/>
        <w:adjustRightInd/>
        <w:snapToGrid/>
        <w:spacing w:line="500" w:lineRule="exact"/>
        <w:textAlignment w:val="auto"/>
        <w:rPr>
          <w:sz w:val="28"/>
          <w:szCs w:val="28"/>
        </w:rPr>
      </w:pPr>
      <w:r>
        <w:rPr>
          <w:rFonts w:hint="eastAsia"/>
          <w:sz w:val="28"/>
          <w:szCs w:val="28"/>
          <w:lang w:val="en-US" w:eastAsia="zh-CN"/>
        </w:rPr>
        <w:t>1、</w:t>
      </w:r>
      <w:r>
        <w:rPr>
          <w:sz w:val="28"/>
          <w:szCs w:val="28"/>
        </w:rPr>
        <w:t xml:space="preserve">着力稳运行促增长  </w:t>
      </w:r>
    </w:p>
    <w:p>
      <w:pPr>
        <w:pStyle w:val="22"/>
        <w:keepNext w:val="0"/>
        <w:keepLines w:val="0"/>
        <w:pageBreakBefore w:val="0"/>
        <w:widowControl/>
        <w:kinsoku/>
        <w:wordWrap/>
        <w:overflowPunct/>
        <w:topLinePunct w:val="0"/>
        <w:autoSpaceDE/>
        <w:autoSpaceDN/>
        <w:bidi w:val="0"/>
        <w:adjustRightInd/>
        <w:snapToGrid/>
        <w:spacing w:line="500" w:lineRule="exact"/>
        <w:textAlignment w:val="auto"/>
        <w:rPr>
          <w:sz w:val="28"/>
          <w:szCs w:val="28"/>
        </w:rPr>
      </w:pPr>
      <w:r>
        <w:rPr>
          <w:sz w:val="28"/>
          <w:szCs w:val="28"/>
        </w:rPr>
        <w:t>绩效目标：密切跟踪经济运行态势，加强对重点行业、重点企业、重点产品分析研判、精准调度和运行监测分析，确保实现工业经济稳步运行，持续增长。</w:t>
      </w:r>
    </w:p>
    <w:p>
      <w:pPr>
        <w:pStyle w:val="22"/>
        <w:keepNext w:val="0"/>
        <w:keepLines w:val="0"/>
        <w:pageBreakBefore w:val="0"/>
        <w:widowControl/>
        <w:kinsoku/>
        <w:wordWrap/>
        <w:overflowPunct/>
        <w:topLinePunct w:val="0"/>
        <w:autoSpaceDE/>
        <w:autoSpaceDN/>
        <w:bidi w:val="0"/>
        <w:adjustRightInd/>
        <w:snapToGrid/>
        <w:spacing w:line="500" w:lineRule="exact"/>
        <w:textAlignment w:val="auto"/>
        <w:rPr>
          <w:sz w:val="28"/>
          <w:szCs w:val="28"/>
        </w:rPr>
      </w:pPr>
      <w:r>
        <w:rPr>
          <w:sz w:val="28"/>
          <w:szCs w:val="28"/>
        </w:rPr>
        <w:t>绩效指标：实现规模以上工业增加值增速4%左右，净增规模以上工业企业30 家。</w:t>
      </w:r>
    </w:p>
    <w:p>
      <w:pPr>
        <w:pStyle w:val="22"/>
        <w:keepNext w:val="0"/>
        <w:keepLines w:val="0"/>
        <w:pageBreakBefore w:val="0"/>
        <w:widowControl/>
        <w:kinsoku/>
        <w:wordWrap/>
        <w:overflowPunct/>
        <w:topLinePunct w:val="0"/>
        <w:autoSpaceDE/>
        <w:autoSpaceDN/>
        <w:bidi w:val="0"/>
        <w:adjustRightInd/>
        <w:snapToGrid/>
        <w:spacing w:line="500" w:lineRule="exact"/>
        <w:textAlignment w:val="auto"/>
        <w:rPr>
          <w:sz w:val="28"/>
          <w:szCs w:val="28"/>
        </w:rPr>
      </w:pPr>
      <w:r>
        <w:rPr>
          <w:rFonts w:hint="eastAsia"/>
          <w:sz w:val="28"/>
          <w:szCs w:val="28"/>
          <w:lang w:val="en-US" w:eastAsia="zh-CN"/>
        </w:rPr>
        <w:t>2、</w:t>
      </w:r>
      <w:r>
        <w:rPr>
          <w:sz w:val="28"/>
          <w:szCs w:val="28"/>
        </w:rPr>
        <w:t>着力发展民营经济</w:t>
      </w:r>
    </w:p>
    <w:p>
      <w:pPr>
        <w:pStyle w:val="22"/>
        <w:keepNext w:val="0"/>
        <w:keepLines w:val="0"/>
        <w:pageBreakBefore w:val="0"/>
        <w:widowControl/>
        <w:kinsoku/>
        <w:wordWrap/>
        <w:overflowPunct/>
        <w:topLinePunct w:val="0"/>
        <w:autoSpaceDE/>
        <w:autoSpaceDN/>
        <w:bidi w:val="0"/>
        <w:adjustRightInd/>
        <w:snapToGrid/>
        <w:spacing w:line="500" w:lineRule="exact"/>
        <w:textAlignment w:val="auto"/>
        <w:rPr>
          <w:sz w:val="28"/>
          <w:szCs w:val="28"/>
        </w:rPr>
      </w:pPr>
      <w:r>
        <w:rPr>
          <w:sz w:val="28"/>
          <w:szCs w:val="28"/>
        </w:rPr>
        <w:t>绩效目标：优化民营经济发展环境，鼓励民营企业创新发展， 提升民营企业标准化、数字化水平，完善人才引进培养机制，推动民营经济高质量发展。</w:t>
      </w:r>
    </w:p>
    <w:p>
      <w:pPr>
        <w:pStyle w:val="22"/>
        <w:keepNext w:val="0"/>
        <w:keepLines w:val="0"/>
        <w:pageBreakBefore w:val="0"/>
        <w:widowControl/>
        <w:kinsoku/>
        <w:wordWrap/>
        <w:overflowPunct/>
        <w:topLinePunct w:val="0"/>
        <w:autoSpaceDE/>
        <w:autoSpaceDN/>
        <w:bidi w:val="0"/>
        <w:adjustRightInd/>
        <w:snapToGrid/>
        <w:spacing w:line="500" w:lineRule="exact"/>
        <w:textAlignment w:val="auto"/>
        <w:rPr>
          <w:sz w:val="28"/>
          <w:szCs w:val="28"/>
        </w:rPr>
      </w:pPr>
      <w:r>
        <w:rPr>
          <w:sz w:val="28"/>
          <w:szCs w:val="28"/>
        </w:rPr>
        <w:t>绩效指标：培训民营企业、中小企业主要经营管理者 40 人次， 运行监测企业上报率 85%，民营经济增加值增速 6%以上。</w:t>
      </w:r>
    </w:p>
    <w:p>
      <w:pPr>
        <w:pStyle w:val="22"/>
        <w:keepNext w:val="0"/>
        <w:keepLines w:val="0"/>
        <w:pageBreakBefore w:val="0"/>
        <w:widowControl/>
        <w:kinsoku/>
        <w:wordWrap/>
        <w:overflowPunct/>
        <w:topLinePunct w:val="0"/>
        <w:autoSpaceDE/>
        <w:autoSpaceDN/>
        <w:bidi w:val="0"/>
        <w:adjustRightInd/>
        <w:snapToGrid/>
        <w:spacing w:line="500" w:lineRule="exact"/>
        <w:textAlignment w:val="auto"/>
        <w:rPr>
          <w:sz w:val="28"/>
          <w:szCs w:val="28"/>
        </w:rPr>
      </w:pPr>
      <w:r>
        <w:rPr>
          <w:rFonts w:hint="eastAsia"/>
          <w:sz w:val="28"/>
          <w:szCs w:val="28"/>
          <w:lang w:val="en-US" w:eastAsia="zh-CN"/>
        </w:rPr>
        <w:t>3、</w:t>
      </w:r>
      <w:r>
        <w:rPr>
          <w:sz w:val="28"/>
          <w:szCs w:val="28"/>
        </w:rPr>
        <w:t>着力推进主导产业重构</w:t>
      </w:r>
    </w:p>
    <w:p>
      <w:pPr>
        <w:pStyle w:val="22"/>
        <w:keepNext w:val="0"/>
        <w:keepLines w:val="0"/>
        <w:pageBreakBefore w:val="0"/>
        <w:widowControl/>
        <w:kinsoku/>
        <w:wordWrap/>
        <w:overflowPunct/>
        <w:topLinePunct w:val="0"/>
        <w:autoSpaceDE/>
        <w:autoSpaceDN/>
        <w:bidi w:val="0"/>
        <w:adjustRightInd/>
        <w:snapToGrid/>
        <w:spacing w:line="500" w:lineRule="exact"/>
        <w:textAlignment w:val="auto"/>
        <w:rPr>
          <w:sz w:val="28"/>
          <w:szCs w:val="28"/>
        </w:rPr>
      </w:pPr>
      <w:r>
        <w:rPr>
          <w:sz w:val="28"/>
          <w:szCs w:val="28"/>
        </w:rPr>
        <w:t>绩效目标：发挥重点产业优势，全力打造大数据产业和特色智能制造产业链，加快项目建设。</w:t>
      </w:r>
    </w:p>
    <w:p>
      <w:pPr>
        <w:pStyle w:val="22"/>
        <w:keepNext w:val="0"/>
        <w:keepLines w:val="0"/>
        <w:pageBreakBefore w:val="0"/>
        <w:widowControl/>
        <w:kinsoku/>
        <w:wordWrap/>
        <w:overflowPunct/>
        <w:topLinePunct w:val="0"/>
        <w:autoSpaceDE/>
        <w:autoSpaceDN/>
        <w:bidi w:val="0"/>
        <w:adjustRightInd/>
        <w:snapToGrid/>
        <w:spacing w:line="500" w:lineRule="exact"/>
        <w:textAlignment w:val="auto"/>
        <w:rPr>
          <w:sz w:val="28"/>
          <w:szCs w:val="28"/>
        </w:rPr>
      </w:pPr>
      <w:r>
        <w:rPr>
          <w:sz w:val="28"/>
          <w:szCs w:val="28"/>
        </w:rPr>
        <w:t>绩效指标：大数据产业实现年营收48亿元，特色智能制造产业实现年营收80亿元。</w:t>
      </w:r>
    </w:p>
    <w:p>
      <w:pPr>
        <w:pStyle w:val="22"/>
        <w:keepNext w:val="0"/>
        <w:keepLines w:val="0"/>
        <w:pageBreakBefore w:val="0"/>
        <w:widowControl/>
        <w:kinsoku/>
        <w:wordWrap/>
        <w:overflowPunct/>
        <w:topLinePunct w:val="0"/>
        <w:autoSpaceDE/>
        <w:autoSpaceDN/>
        <w:bidi w:val="0"/>
        <w:adjustRightInd/>
        <w:snapToGrid/>
        <w:spacing w:line="500" w:lineRule="exact"/>
        <w:ind w:firstLine="932" w:firstLineChars="333"/>
        <w:textAlignment w:val="auto"/>
        <w:rPr>
          <w:sz w:val="28"/>
          <w:szCs w:val="28"/>
        </w:rPr>
      </w:pPr>
      <w:r>
        <w:rPr>
          <w:rFonts w:hint="eastAsia"/>
          <w:sz w:val="28"/>
          <w:szCs w:val="28"/>
          <w:lang w:val="en-US" w:eastAsia="zh-CN"/>
        </w:rPr>
        <w:t>4、</w:t>
      </w:r>
      <w:r>
        <w:rPr>
          <w:sz w:val="28"/>
          <w:szCs w:val="28"/>
        </w:rPr>
        <w:t>着力抓实项目建  设</w:t>
      </w:r>
    </w:p>
    <w:p>
      <w:pPr>
        <w:pStyle w:val="22"/>
        <w:keepNext w:val="0"/>
        <w:keepLines w:val="0"/>
        <w:pageBreakBefore w:val="0"/>
        <w:widowControl/>
        <w:kinsoku/>
        <w:wordWrap/>
        <w:overflowPunct/>
        <w:topLinePunct w:val="0"/>
        <w:autoSpaceDE/>
        <w:autoSpaceDN/>
        <w:bidi w:val="0"/>
        <w:adjustRightInd/>
        <w:snapToGrid/>
        <w:spacing w:line="500" w:lineRule="exact"/>
        <w:textAlignment w:val="auto"/>
        <w:rPr>
          <w:sz w:val="28"/>
          <w:szCs w:val="28"/>
        </w:rPr>
      </w:pPr>
      <w:r>
        <w:rPr>
          <w:sz w:val="28"/>
          <w:szCs w:val="28"/>
        </w:rPr>
        <w:t>绩效目标：牢固树立“项目为王”理念，全力推动工业项目建设达产达效，形成高质量拉动，培育更多地新增长点。</w:t>
      </w:r>
    </w:p>
    <w:p>
      <w:pPr>
        <w:pStyle w:val="22"/>
        <w:keepNext w:val="0"/>
        <w:keepLines w:val="0"/>
        <w:pageBreakBefore w:val="0"/>
        <w:widowControl/>
        <w:kinsoku/>
        <w:wordWrap/>
        <w:overflowPunct/>
        <w:topLinePunct w:val="0"/>
        <w:autoSpaceDE/>
        <w:autoSpaceDN/>
        <w:bidi w:val="0"/>
        <w:adjustRightInd/>
        <w:snapToGrid/>
        <w:spacing w:line="500" w:lineRule="exact"/>
        <w:textAlignment w:val="auto"/>
        <w:rPr>
          <w:sz w:val="28"/>
          <w:szCs w:val="28"/>
        </w:rPr>
      </w:pPr>
      <w:r>
        <w:rPr>
          <w:sz w:val="28"/>
          <w:szCs w:val="28"/>
        </w:rPr>
        <w:t>绩效指标：加快工业项目投资力度，推进以智能化升级、集群化发展、服务化延伸、绿色化转型、安全化管控为重点的新一轮技术改造，重点实施技改项目50个以上。</w:t>
      </w:r>
    </w:p>
    <w:p>
      <w:pPr>
        <w:keepNext w:val="0"/>
        <w:keepLines w:val="0"/>
        <w:pageBreakBefore w:val="0"/>
        <w:widowControl/>
        <w:kinsoku/>
        <w:wordWrap/>
        <w:overflowPunct/>
        <w:topLinePunct w:val="0"/>
        <w:autoSpaceDE/>
        <w:autoSpaceDN/>
        <w:bidi w:val="0"/>
        <w:adjustRightInd/>
        <w:snapToGrid/>
        <w:spacing w:line="500" w:lineRule="exact"/>
        <w:ind w:firstLine="560"/>
        <w:textAlignment w:val="auto"/>
        <w:rPr>
          <w:sz w:val="28"/>
          <w:szCs w:val="28"/>
        </w:rPr>
      </w:pPr>
      <w:r>
        <w:rPr>
          <w:rFonts w:eastAsia="方正仿宋_GBK"/>
          <w:color w:val="000000"/>
          <w:sz w:val="28"/>
          <w:szCs w:val="28"/>
        </w:rPr>
        <w:t>（三）工作保障措施</w:t>
      </w:r>
    </w:p>
    <w:p>
      <w:pPr>
        <w:pStyle w:val="23"/>
        <w:keepNext w:val="0"/>
        <w:keepLines w:val="0"/>
        <w:pageBreakBefore w:val="0"/>
        <w:widowControl/>
        <w:kinsoku/>
        <w:wordWrap/>
        <w:overflowPunct/>
        <w:topLinePunct w:val="0"/>
        <w:autoSpaceDE/>
        <w:autoSpaceDN/>
        <w:bidi w:val="0"/>
        <w:adjustRightInd/>
        <w:snapToGrid/>
        <w:spacing w:line="500" w:lineRule="exact"/>
        <w:textAlignment w:val="auto"/>
        <w:rPr>
          <w:sz w:val="28"/>
          <w:szCs w:val="28"/>
        </w:rPr>
      </w:pPr>
      <w:r>
        <w:rPr>
          <w:rFonts w:hint="eastAsia"/>
          <w:sz w:val="28"/>
          <w:szCs w:val="28"/>
          <w:lang w:val="en-US" w:eastAsia="zh-CN"/>
        </w:rPr>
        <w:t>1、</w:t>
      </w:r>
      <w:r>
        <w:rPr>
          <w:sz w:val="28"/>
          <w:szCs w:val="28"/>
        </w:rPr>
        <w:t>加强组织领导。建立统筹协调、分工协作、密切配合、合力推进的工作机制。根据我市预算绩效管理相关要求，健全完善我局预算绩效管理、预算资金管理等制度规定，按要求开展部门预算绩效实时监控、绩效自评和重点项目评价等工作。围绕年度总体绩效目标和分类绩效目标，细化工作方案，明确责任主体、实施进度要求，确保如期完成。</w:t>
      </w:r>
    </w:p>
    <w:p>
      <w:pPr>
        <w:pStyle w:val="23"/>
        <w:keepNext w:val="0"/>
        <w:keepLines w:val="0"/>
        <w:pageBreakBefore w:val="0"/>
        <w:widowControl/>
        <w:kinsoku/>
        <w:wordWrap/>
        <w:overflowPunct/>
        <w:topLinePunct w:val="0"/>
        <w:autoSpaceDE/>
        <w:autoSpaceDN/>
        <w:bidi w:val="0"/>
        <w:adjustRightInd/>
        <w:snapToGrid/>
        <w:spacing w:line="500" w:lineRule="exact"/>
        <w:textAlignment w:val="auto"/>
        <w:rPr>
          <w:sz w:val="28"/>
          <w:szCs w:val="28"/>
        </w:rPr>
      </w:pPr>
      <w:r>
        <w:rPr>
          <w:rFonts w:hint="eastAsia"/>
          <w:sz w:val="28"/>
          <w:szCs w:val="28"/>
          <w:lang w:val="en-US" w:eastAsia="zh-CN"/>
        </w:rPr>
        <w:t>2、</w:t>
      </w:r>
      <w:r>
        <w:rPr>
          <w:sz w:val="28"/>
          <w:szCs w:val="28"/>
        </w:rPr>
        <w:t>狠抓工作落实。按照“谁支出、谁负责”的原则，明确各科室预算绩效管理职责。财务科配合相关科室开展分管项目及内容的预算绩效管理具体工作，实现花钱必问效，确保财务与业务工作紧密衔接。</w:t>
      </w:r>
    </w:p>
    <w:p>
      <w:pPr>
        <w:pStyle w:val="23"/>
        <w:keepNext w:val="0"/>
        <w:keepLines w:val="0"/>
        <w:pageBreakBefore w:val="0"/>
        <w:widowControl/>
        <w:kinsoku/>
        <w:wordWrap/>
        <w:overflowPunct/>
        <w:topLinePunct w:val="0"/>
        <w:autoSpaceDE/>
        <w:autoSpaceDN/>
        <w:bidi w:val="0"/>
        <w:adjustRightInd/>
        <w:snapToGrid/>
        <w:spacing w:line="500" w:lineRule="exact"/>
        <w:textAlignment w:val="auto"/>
        <w:rPr>
          <w:sz w:val="28"/>
          <w:szCs w:val="28"/>
        </w:rPr>
      </w:pPr>
      <w:r>
        <w:rPr>
          <w:rFonts w:hint="eastAsia"/>
          <w:sz w:val="28"/>
          <w:szCs w:val="28"/>
          <w:lang w:val="en-US" w:eastAsia="zh-CN"/>
        </w:rPr>
        <w:t>3、</w:t>
      </w:r>
      <w:r>
        <w:rPr>
          <w:sz w:val="28"/>
          <w:szCs w:val="28"/>
        </w:rPr>
        <w:t>强化预算管理。开展绩效运行监控管理，强化财政预算执行的刚性约束。进一步规范财政资金使用和管理，强化内部控制制度建设。督促有关科室切实加快执行进度，预算一经批复，尽快启动项目，履行政府采购手续，确保按照时间节点完成支出任务， 及早发挥财政资金效益。</w:t>
      </w:r>
    </w:p>
    <w:p>
      <w:pPr>
        <w:pStyle w:val="23"/>
        <w:keepNext w:val="0"/>
        <w:keepLines w:val="0"/>
        <w:pageBreakBefore w:val="0"/>
        <w:widowControl/>
        <w:kinsoku/>
        <w:wordWrap/>
        <w:overflowPunct/>
        <w:topLinePunct w:val="0"/>
        <w:autoSpaceDE/>
        <w:autoSpaceDN/>
        <w:bidi w:val="0"/>
        <w:adjustRightInd/>
        <w:snapToGrid/>
        <w:spacing w:line="500" w:lineRule="exact"/>
        <w:textAlignment w:val="auto"/>
        <w:rPr>
          <w:sz w:val="28"/>
          <w:szCs w:val="28"/>
        </w:rPr>
      </w:pPr>
      <w:r>
        <w:rPr>
          <w:rFonts w:hint="eastAsia"/>
          <w:sz w:val="28"/>
          <w:szCs w:val="28"/>
          <w:lang w:val="en-US" w:eastAsia="zh-CN"/>
        </w:rPr>
        <w:t>4、</w:t>
      </w:r>
      <w:r>
        <w:rPr>
          <w:sz w:val="28"/>
          <w:szCs w:val="28"/>
        </w:rPr>
        <w:t>完善评价机制。扎实开展绩效自评，制定评价工作方案， 明确评价内容、责任科室、评价方法等。必要时，聘请第三方机构独立开展评价。对在绩效评价发现的问题，研究解决对策，及时整改，调整优化支出结构，提高财政资金使用效益。</w:t>
      </w:r>
    </w:p>
    <w:p>
      <w:pPr>
        <w:pStyle w:val="23"/>
        <w:keepNext w:val="0"/>
        <w:keepLines w:val="0"/>
        <w:pageBreakBefore w:val="0"/>
        <w:widowControl/>
        <w:kinsoku/>
        <w:wordWrap/>
        <w:overflowPunct/>
        <w:topLinePunct w:val="0"/>
        <w:autoSpaceDE/>
        <w:autoSpaceDN/>
        <w:bidi w:val="0"/>
        <w:adjustRightInd/>
        <w:snapToGrid/>
        <w:spacing w:line="500" w:lineRule="exact"/>
        <w:textAlignment w:val="auto"/>
        <w:rPr>
          <w:sz w:val="28"/>
          <w:szCs w:val="28"/>
        </w:rPr>
      </w:pPr>
      <w:r>
        <w:rPr>
          <w:rFonts w:hint="eastAsia"/>
          <w:sz w:val="28"/>
          <w:szCs w:val="28"/>
          <w:lang w:val="en-US" w:eastAsia="zh-CN"/>
        </w:rPr>
        <w:t>5、</w:t>
      </w:r>
      <w:r>
        <w:rPr>
          <w:sz w:val="28"/>
          <w:szCs w:val="28"/>
        </w:rPr>
        <w:t>加强宣传培训。加强预算绩效管理专业知识培训，提高预算绩效管理工作人员的业务素质，强化预算绩效管理意识，掌握工作方法，提升管理能力。加大绩效预算宣传力度，利用多途径、多方式宣传绩效理念，营造良好的舆论氛围，促进预算绩效管理水平进一步提高。</w:t>
      </w:r>
    </w:p>
    <w:p>
      <w:pPr>
        <w:keepNext w:val="0"/>
        <w:keepLines w:val="0"/>
        <w:pageBreakBefore w:val="0"/>
        <w:widowControl/>
        <w:kinsoku/>
        <w:wordWrap/>
        <w:overflowPunct/>
        <w:topLinePunct w:val="0"/>
        <w:autoSpaceDE/>
        <w:autoSpaceDN/>
        <w:bidi w:val="0"/>
        <w:adjustRightInd/>
        <w:snapToGrid/>
        <w:spacing w:line="500" w:lineRule="exact"/>
        <w:ind w:firstLine="640"/>
        <w:textAlignment w:val="auto"/>
        <w:rPr>
          <w:rFonts w:ascii="方正楷体_GBK" w:hAnsi="方正楷体_GBK" w:eastAsia="方正楷体_GBK" w:cs="方正楷体_GBK"/>
          <w:b/>
          <w:color w:val="000000"/>
          <w:sz w:val="32"/>
          <w:szCs w:val="32"/>
        </w:rPr>
      </w:pPr>
      <w:r>
        <w:rPr>
          <w:rFonts w:ascii="方正楷体_GBK" w:hAnsi="方正楷体_GBK" w:eastAsia="方正楷体_GBK" w:cs="方正楷体_GBK"/>
          <w:b/>
          <w:color w:val="000000"/>
          <w:sz w:val="32"/>
          <w:szCs w:val="32"/>
        </w:rPr>
        <w:t>第二部分  专项资金绩效目标</w:t>
      </w:r>
    </w:p>
    <w:p>
      <w:pPr>
        <w:keepNext w:val="0"/>
        <w:keepLines w:val="0"/>
        <w:pageBreakBefore w:val="0"/>
        <w:widowControl/>
        <w:kinsoku/>
        <w:wordWrap/>
        <w:overflowPunct/>
        <w:topLinePunct w:val="0"/>
        <w:autoSpaceDE/>
        <w:autoSpaceDN/>
        <w:bidi w:val="0"/>
        <w:adjustRightInd/>
        <w:snapToGrid/>
        <w:spacing w:line="500" w:lineRule="exact"/>
        <w:ind w:firstLine="640"/>
        <w:textAlignment w:val="auto"/>
        <w:rPr>
          <w:rFonts w:hint="eastAsia" w:ascii="方正楷体_GBK" w:hAnsi="方正楷体_GBK" w:eastAsia="方正楷体_GBK" w:cs="方正楷体_GBK"/>
          <w:b w:val="0"/>
          <w:bCs/>
          <w:color w:val="000000"/>
          <w:sz w:val="28"/>
          <w:szCs w:val="28"/>
          <w:lang w:eastAsia="zh-CN"/>
        </w:rPr>
      </w:pPr>
      <w:r>
        <w:rPr>
          <w:rFonts w:hint="eastAsia" w:ascii="方正楷体_GBK" w:hAnsi="方正楷体_GBK" w:eastAsia="方正楷体_GBK" w:cs="方正楷体_GBK"/>
          <w:b w:val="0"/>
          <w:bCs/>
          <w:color w:val="000000"/>
          <w:sz w:val="28"/>
          <w:szCs w:val="28"/>
          <w:lang w:eastAsia="zh-CN"/>
        </w:rPr>
        <w:t>无</w:t>
      </w:r>
    </w:p>
    <w:p>
      <w:pPr>
        <w:pStyle w:val="24"/>
        <w:keepNext w:val="0"/>
        <w:keepLines w:val="0"/>
        <w:pageBreakBefore w:val="0"/>
        <w:widowControl/>
        <w:kinsoku/>
        <w:wordWrap/>
        <w:overflowPunct/>
        <w:topLinePunct w:val="0"/>
        <w:autoSpaceDE/>
        <w:autoSpaceDN/>
        <w:bidi w:val="0"/>
        <w:adjustRightInd/>
        <w:snapToGrid/>
        <w:spacing w:line="500" w:lineRule="exact"/>
        <w:ind w:firstLine="640"/>
        <w:textAlignment w:val="auto"/>
        <w:rPr>
          <w:sz w:val="32"/>
          <w:szCs w:val="32"/>
        </w:rPr>
      </w:pPr>
      <w:r>
        <w:rPr>
          <w:rFonts w:ascii="方正楷体_GBK" w:hAnsi="方正楷体_GBK" w:eastAsia="方正楷体_GBK" w:cs="方正楷体_GBK"/>
          <w:b/>
          <w:color w:val="000000"/>
          <w:sz w:val="32"/>
          <w:szCs w:val="32"/>
        </w:rPr>
        <w:t>第三部分  预算项目绩效目标</w:t>
      </w:r>
    </w:p>
    <w:p>
      <w:pPr>
        <w:pStyle w:val="24"/>
        <w:keepNext w:val="0"/>
        <w:keepLines w:val="0"/>
        <w:pageBreakBefore w:val="0"/>
        <w:widowControl/>
        <w:kinsoku/>
        <w:wordWrap/>
        <w:overflowPunct/>
        <w:topLinePunct w:val="0"/>
        <w:autoSpaceDE/>
        <w:autoSpaceDN/>
        <w:bidi w:val="0"/>
        <w:adjustRightInd/>
        <w:snapToGrid/>
        <w:spacing w:line="500" w:lineRule="exact"/>
        <w:ind w:firstLine="560"/>
        <w:textAlignment w:val="auto"/>
        <w:rPr>
          <w:rFonts w:ascii="方正仿宋_GBK" w:hAnsi="方正仿宋_GBK" w:eastAsia="方正仿宋_GBK" w:cs="方正仿宋_GBK"/>
          <w:b/>
          <w:color w:val="000000"/>
          <w:sz w:val="32"/>
          <w:szCs w:val="32"/>
        </w:rPr>
      </w:pPr>
    </w:p>
    <w:p>
      <w:pPr>
        <w:pStyle w:val="24"/>
        <w:keepNext w:val="0"/>
        <w:keepLines w:val="0"/>
        <w:pageBreakBefore w:val="0"/>
        <w:widowControl/>
        <w:kinsoku/>
        <w:wordWrap/>
        <w:overflowPunct/>
        <w:topLinePunct w:val="0"/>
        <w:autoSpaceDE/>
        <w:autoSpaceDN/>
        <w:bidi w:val="0"/>
        <w:adjustRightInd/>
        <w:snapToGrid/>
        <w:spacing w:line="500" w:lineRule="exact"/>
        <w:ind w:firstLine="560"/>
        <w:textAlignment w:val="auto"/>
      </w:pPr>
      <w:r>
        <w:rPr>
          <w:rFonts w:ascii="方正仿宋_GBK" w:hAnsi="方正仿宋_GBK" w:eastAsia="方正仿宋_GBK" w:cs="方正仿宋_GBK"/>
          <w:b/>
          <w:color w:val="000000"/>
          <w:sz w:val="28"/>
        </w:rPr>
        <w:t>1、工业和信息化工作经费绩效目标表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1.拟定并组织实施全市工业的发展规划，推进产业结构战略性调整和优化升级，推进信息化和工业化融合。建立健全民营经济统计和监控分析系统，促进中小企业、民营经济健康发展</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新增规上工业企业数量</w:t>
            </w:r>
          </w:p>
        </w:tc>
        <w:tc>
          <w:tcPr>
            <w:tcW w:w="2835" w:type="dxa"/>
            <w:vAlign w:val="center"/>
          </w:tcPr>
          <w:p>
            <w:pPr>
              <w:pStyle w:val="26"/>
            </w:pPr>
            <w:r>
              <w:t>新增规上工业企业数量</w:t>
            </w:r>
          </w:p>
        </w:tc>
        <w:tc>
          <w:tcPr>
            <w:tcW w:w="2551" w:type="dxa"/>
            <w:vAlign w:val="center"/>
          </w:tcPr>
          <w:p>
            <w:pPr>
              <w:pStyle w:val="26"/>
            </w:pPr>
            <w:r>
              <w:t>≥30</w:t>
            </w:r>
          </w:p>
        </w:tc>
        <w:tc>
          <w:tcPr>
            <w:tcW w:w="2268" w:type="dxa"/>
            <w:vAlign w:val="center"/>
          </w:tcPr>
          <w:p>
            <w:pPr>
              <w:pStyle w:val="26"/>
            </w:pPr>
            <w:r>
              <w:t>2022年工作目标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检查督导完成率</w:t>
            </w:r>
          </w:p>
        </w:tc>
        <w:tc>
          <w:tcPr>
            <w:tcW w:w="2835" w:type="dxa"/>
            <w:vAlign w:val="center"/>
          </w:tcPr>
          <w:p>
            <w:pPr>
              <w:pStyle w:val="26"/>
            </w:pPr>
            <w:r>
              <w:t>检查督导完成率</w:t>
            </w:r>
          </w:p>
        </w:tc>
        <w:tc>
          <w:tcPr>
            <w:tcW w:w="2551" w:type="dxa"/>
            <w:vAlign w:val="center"/>
          </w:tcPr>
          <w:p>
            <w:pPr>
              <w:pStyle w:val="26"/>
            </w:pPr>
            <w:r>
              <w:t>≥80</w:t>
            </w:r>
          </w:p>
        </w:tc>
        <w:tc>
          <w:tcPr>
            <w:tcW w:w="2268" w:type="dxa"/>
            <w:vAlign w:val="center"/>
          </w:tcPr>
          <w:p>
            <w:pPr>
              <w:pStyle w:val="26"/>
            </w:pPr>
            <w:r>
              <w:t>2022年工作目标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 xml:space="preserve">各项工作完成及时率 </w:t>
            </w:r>
          </w:p>
        </w:tc>
        <w:tc>
          <w:tcPr>
            <w:tcW w:w="2835" w:type="dxa"/>
            <w:vAlign w:val="center"/>
          </w:tcPr>
          <w:p>
            <w:pPr>
              <w:pStyle w:val="26"/>
            </w:pPr>
            <w:r>
              <w:t xml:space="preserve">各项工作完成及时率 </w:t>
            </w:r>
          </w:p>
        </w:tc>
        <w:tc>
          <w:tcPr>
            <w:tcW w:w="2551" w:type="dxa"/>
            <w:vAlign w:val="center"/>
          </w:tcPr>
          <w:p>
            <w:pPr>
              <w:pStyle w:val="26"/>
            </w:pPr>
            <w:r>
              <w:t>≥90</w:t>
            </w:r>
          </w:p>
        </w:tc>
        <w:tc>
          <w:tcPr>
            <w:tcW w:w="2268" w:type="dxa"/>
            <w:vAlign w:val="center"/>
          </w:tcPr>
          <w:p>
            <w:pPr>
              <w:pStyle w:val="26"/>
            </w:pPr>
            <w:r>
              <w:t>2022年工作目标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成本控制率</w:t>
            </w:r>
          </w:p>
        </w:tc>
        <w:tc>
          <w:tcPr>
            <w:tcW w:w="2835" w:type="dxa"/>
            <w:vAlign w:val="center"/>
          </w:tcPr>
          <w:p>
            <w:pPr>
              <w:pStyle w:val="26"/>
            </w:pPr>
            <w:r>
              <w:t>专项工作经费控制数</w:t>
            </w:r>
          </w:p>
        </w:tc>
        <w:tc>
          <w:tcPr>
            <w:tcW w:w="2551" w:type="dxa"/>
            <w:vAlign w:val="center"/>
          </w:tcPr>
          <w:p>
            <w:pPr>
              <w:pStyle w:val="26"/>
            </w:pPr>
            <w:r>
              <w:t>≤100</w:t>
            </w:r>
          </w:p>
        </w:tc>
        <w:tc>
          <w:tcPr>
            <w:tcW w:w="2268" w:type="dxa"/>
            <w:vAlign w:val="center"/>
          </w:tcPr>
          <w:p>
            <w:pPr>
              <w:pStyle w:val="26"/>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对经济发展的促进作用</w:t>
            </w:r>
          </w:p>
        </w:tc>
        <w:tc>
          <w:tcPr>
            <w:tcW w:w="2835" w:type="dxa"/>
            <w:vAlign w:val="center"/>
          </w:tcPr>
          <w:p>
            <w:pPr>
              <w:pStyle w:val="26"/>
            </w:pPr>
            <w:r>
              <w:t>对经济发展的促进作用</w:t>
            </w:r>
          </w:p>
        </w:tc>
        <w:tc>
          <w:tcPr>
            <w:tcW w:w="2551" w:type="dxa"/>
            <w:vAlign w:val="center"/>
          </w:tcPr>
          <w:p>
            <w:pPr>
              <w:pStyle w:val="26"/>
            </w:pPr>
            <w:r>
              <w:t>对经济发展的促进作用</w:t>
            </w:r>
          </w:p>
        </w:tc>
        <w:tc>
          <w:tcPr>
            <w:tcW w:w="2268" w:type="dxa"/>
            <w:vAlign w:val="center"/>
          </w:tcPr>
          <w:p>
            <w:pPr>
              <w:pStyle w:val="26"/>
            </w:pPr>
            <w:r>
              <w:t>2022年工作目标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生态效益指标</w:t>
            </w:r>
          </w:p>
        </w:tc>
        <w:tc>
          <w:tcPr>
            <w:tcW w:w="2835" w:type="dxa"/>
            <w:vAlign w:val="center"/>
          </w:tcPr>
          <w:p>
            <w:pPr>
              <w:pStyle w:val="26"/>
            </w:pPr>
            <w:r>
              <w:t>保障业务正常运行</w:t>
            </w:r>
          </w:p>
        </w:tc>
        <w:tc>
          <w:tcPr>
            <w:tcW w:w="2835" w:type="dxa"/>
            <w:vAlign w:val="center"/>
          </w:tcPr>
          <w:p>
            <w:pPr>
              <w:pStyle w:val="26"/>
            </w:pPr>
            <w:r>
              <w:t>保障业务正常运行</w:t>
            </w:r>
          </w:p>
        </w:tc>
        <w:tc>
          <w:tcPr>
            <w:tcW w:w="2551" w:type="dxa"/>
            <w:vAlign w:val="center"/>
          </w:tcPr>
          <w:p>
            <w:pPr>
              <w:pStyle w:val="26"/>
            </w:pPr>
            <w:r>
              <w:t>保障业务正常运行</w:t>
            </w:r>
          </w:p>
        </w:tc>
        <w:tc>
          <w:tcPr>
            <w:tcW w:w="2268" w:type="dxa"/>
            <w:vAlign w:val="center"/>
          </w:tcPr>
          <w:p>
            <w:pPr>
              <w:pStyle w:val="26"/>
            </w:pPr>
            <w:r>
              <w:t>2022年工作目标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可持续影响指标</w:t>
            </w:r>
          </w:p>
        </w:tc>
        <w:tc>
          <w:tcPr>
            <w:tcW w:w="2835" w:type="dxa"/>
            <w:vAlign w:val="center"/>
          </w:tcPr>
          <w:p>
            <w:pPr>
              <w:pStyle w:val="26"/>
            </w:pPr>
            <w:r>
              <w:t>保障业务正常运行</w:t>
            </w:r>
          </w:p>
        </w:tc>
        <w:tc>
          <w:tcPr>
            <w:tcW w:w="2835" w:type="dxa"/>
            <w:vAlign w:val="center"/>
          </w:tcPr>
          <w:p>
            <w:pPr>
              <w:pStyle w:val="26"/>
            </w:pPr>
            <w:r>
              <w:t>保障业务正常运行</w:t>
            </w:r>
          </w:p>
        </w:tc>
        <w:tc>
          <w:tcPr>
            <w:tcW w:w="2551" w:type="dxa"/>
            <w:vAlign w:val="center"/>
          </w:tcPr>
          <w:p>
            <w:pPr>
              <w:pStyle w:val="26"/>
            </w:pPr>
            <w:r>
              <w:t>保障业务正常运行</w:t>
            </w:r>
          </w:p>
        </w:tc>
        <w:tc>
          <w:tcPr>
            <w:tcW w:w="2268" w:type="dxa"/>
            <w:vAlign w:val="center"/>
          </w:tcPr>
          <w:p>
            <w:pPr>
              <w:pStyle w:val="26"/>
            </w:pPr>
            <w:r>
              <w:t>2022年工作目标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满意度</w:t>
            </w:r>
          </w:p>
        </w:tc>
        <w:tc>
          <w:tcPr>
            <w:tcW w:w="2835" w:type="dxa"/>
            <w:vAlign w:val="center"/>
          </w:tcPr>
          <w:p>
            <w:pPr>
              <w:pStyle w:val="26"/>
            </w:pPr>
            <w:r>
              <w:t>企业满意度</w:t>
            </w:r>
          </w:p>
        </w:tc>
        <w:tc>
          <w:tcPr>
            <w:tcW w:w="2551" w:type="dxa"/>
            <w:vAlign w:val="center"/>
          </w:tcPr>
          <w:p>
            <w:pPr>
              <w:pStyle w:val="26"/>
            </w:pPr>
            <w:r>
              <w:t>≥90</w:t>
            </w:r>
          </w:p>
        </w:tc>
        <w:tc>
          <w:tcPr>
            <w:tcW w:w="2268" w:type="dxa"/>
            <w:vAlign w:val="center"/>
          </w:tcPr>
          <w:p>
            <w:pPr>
              <w:pStyle w:val="26"/>
            </w:pPr>
            <w:r>
              <w:t>2022年工作目标</w:t>
            </w:r>
          </w:p>
        </w:tc>
      </w:tr>
    </w:tbl>
    <w:p>
      <w:pPr>
        <w:pStyle w:val="24"/>
      </w:pPr>
    </w:p>
    <w:p>
      <w:pPr>
        <w:pStyle w:val="24"/>
        <w:ind w:firstLine="560"/>
        <w:rPr>
          <w:rFonts w:ascii="方正仿宋_GBK" w:hAnsi="方正仿宋_GBK" w:eastAsia="方正仿宋_GBK" w:cs="方正仿宋_GBK"/>
          <w:b/>
          <w:color w:val="000000"/>
          <w:sz w:val="28"/>
        </w:rPr>
      </w:pPr>
    </w:p>
    <w:p>
      <w:pPr>
        <w:pStyle w:val="24"/>
        <w:ind w:firstLine="560"/>
      </w:pPr>
      <w:r>
        <w:rPr>
          <w:rFonts w:ascii="方正仿宋_GBK" w:hAnsi="方正仿宋_GBK" w:eastAsia="方正仿宋_GBK" w:cs="方正仿宋_GBK"/>
          <w:b/>
          <w:color w:val="000000"/>
          <w:sz w:val="28"/>
        </w:rPr>
        <w:t>2、京津冀工业固废综合利用产业对接洽谈会绩效目标表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1.目标内容1</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参加会议人数</w:t>
            </w:r>
          </w:p>
        </w:tc>
        <w:tc>
          <w:tcPr>
            <w:tcW w:w="2835" w:type="dxa"/>
            <w:vAlign w:val="center"/>
          </w:tcPr>
          <w:p>
            <w:pPr>
              <w:pStyle w:val="26"/>
            </w:pPr>
            <w:r>
              <w:t>参加会议人数</w:t>
            </w:r>
          </w:p>
        </w:tc>
        <w:tc>
          <w:tcPr>
            <w:tcW w:w="2551" w:type="dxa"/>
            <w:vAlign w:val="center"/>
          </w:tcPr>
          <w:p>
            <w:pPr>
              <w:pStyle w:val="26"/>
            </w:pPr>
            <w:r>
              <w:t>≤300</w:t>
            </w:r>
          </w:p>
        </w:tc>
        <w:tc>
          <w:tcPr>
            <w:tcW w:w="2268" w:type="dxa"/>
            <w:vAlign w:val="center"/>
          </w:tcPr>
          <w:p>
            <w:pPr>
              <w:pStyle w:val="26"/>
            </w:pPr>
            <w:r>
              <w:t>会议费标准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完成率</w:t>
            </w:r>
          </w:p>
        </w:tc>
        <w:tc>
          <w:tcPr>
            <w:tcW w:w="2835" w:type="dxa"/>
            <w:vAlign w:val="center"/>
          </w:tcPr>
          <w:p>
            <w:pPr>
              <w:pStyle w:val="26"/>
            </w:pPr>
            <w:r>
              <w:t>完成会议要求</w:t>
            </w:r>
          </w:p>
        </w:tc>
        <w:tc>
          <w:tcPr>
            <w:tcW w:w="2551" w:type="dxa"/>
            <w:vAlign w:val="center"/>
          </w:tcPr>
          <w:p>
            <w:pPr>
              <w:pStyle w:val="26"/>
            </w:pPr>
            <w:r>
              <w:t>100</w:t>
            </w:r>
          </w:p>
        </w:tc>
        <w:tc>
          <w:tcPr>
            <w:tcW w:w="2268" w:type="dxa"/>
            <w:vAlign w:val="center"/>
          </w:tcPr>
          <w:p>
            <w:pPr>
              <w:pStyle w:val="26"/>
            </w:pPr>
            <w:r>
              <w:t>会议方案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工作完成时间</w:t>
            </w:r>
          </w:p>
        </w:tc>
        <w:tc>
          <w:tcPr>
            <w:tcW w:w="2835" w:type="dxa"/>
            <w:vAlign w:val="center"/>
          </w:tcPr>
          <w:p>
            <w:pPr>
              <w:pStyle w:val="26"/>
            </w:pPr>
            <w:r>
              <w:t>工作完成时间</w:t>
            </w:r>
          </w:p>
        </w:tc>
        <w:tc>
          <w:tcPr>
            <w:tcW w:w="2551" w:type="dxa"/>
            <w:vAlign w:val="center"/>
          </w:tcPr>
          <w:p>
            <w:pPr>
              <w:pStyle w:val="26"/>
            </w:pPr>
            <w:r>
              <w:t>10月15日前</w:t>
            </w:r>
          </w:p>
        </w:tc>
        <w:tc>
          <w:tcPr>
            <w:tcW w:w="2268" w:type="dxa"/>
            <w:vAlign w:val="center"/>
          </w:tcPr>
          <w:p>
            <w:pPr>
              <w:pStyle w:val="26"/>
            </w:pPr>
            <w:r>
              <w:t>会议方案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参加会议人员人均成本</w:t>
            </w:r>
          </w:p>
        </w:tc>
        <w:tc>
          <w:tcPr>
            <w:tcW w:w="2835" w:type="dxa"/>
            <w:vAlign w:val="center"/>
          </w:tcPr>
          <w:p>
            <w:pPr>
              <w:pStyle w:val="26"/>
            </w:pPr>
            <w:r>
              <w:t>参加会议人员人均成本</w:t>
            </w:r>
          </w:p>
        </w:tc>
        <w:tc>
          <w:tcPr>
            <w:tcW w:w="2551" w:type="dxa"/>
            <w:vAlign w:val="center"/>
          </w:tcPr>
          <w:p>
            <w:pPr>
              <w:pStyle w:val="26"/>
            </w:pPr>
            <w:r>
              <w:t>≤400</w:t>
            </w:r>
          </w:p>
        </w:tc>
        <w:tc>
          <w:tcPr>
            <w:tcW w:w="2268" w:type="dxa"/>
            <w:vAlign w:val="center"/>
          </w:tcPr>
          <w:p>
            <w:pPr>
              <w:pStyle w:val="26"/>
            </w:pPr>
            <w:r>
              <w:t>会议费标准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经济效益指标</w:t>
            </w:r>
          </w:p>
        </w:tc>
        <w:tc>
          <w:tcPr>
            <w:tcW w:w="2835" w:type="dxa"/>
            <w:vAlign w:val="center"/>
          </w:tcPr>
          <w:p>
            <w:pPr>
              <w:pStyle w:val="26"/>
            </w:pPr>
            <w:r>
              <w:t>签约金额</w:t>
            </w:r>
          </w:p>
        </w:tc>
        <w:tc>
          <w:tcPr>
            <w:tcW w:w="2835" w:type="dxa"/>
            <w:vAlign w:val="center"/>
          </w:tcPr>
          <w:p>
            <w:pPr>
              <w:pStyle w:val="26"/>
            </w:pPr>
            <w:r>
              <w:t>签约金额</w:t>
            </w:r>
          </w:p>
        </w:tc>
        <w:tc>
          <w:tcPr>
            <w:tcW w:w="2551" w:type="dxa"/>
            <w:vAlign w:val="center"/>
          </w:tcPr>
          <w:p>
            <w:pPr>
              <w:pStyle w:val="26"/>
            </w:pPr>
            <w:r>
              <w:t>≥3.66</w:t>
            </w:r>
          </w:p>
        </w:tc>
        <w:tc>
          <w:tcPr>
            <w:tcW w:w="2268" w:type="dxa"/>
            <w:vAlign w:val="center"/>
          </w:tcPr>
          <w:p>
            <w:pPr>
              <w:pStyle w:val="26"/>
            </w:pPr>
            <w:r>
              <w:t>会议方案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社会效益指标</w:t>
            </w:r>
          </w:p>
        </w:tc>
        <w:tc>
          <w:tcPr>
            <w:tcW w:w="2835" w:type="dxa"/>
            <w:vAlign w:val="center"/>
          </w:tcPr>
          <w:p>
            <w:pPr>
              <w:pStyle w:val="26"/>
            </w:pPr>
            <w:r>
              <w:t>展示成果</w:t>
            </w:r>
          </w:p>
        </w:tc>
        <w:tc>
          <w:tcPr>
            <w:tcW w:w="2835" w:type="dxa"/>
            <w:vAlign w:val="center"/>
          </w:tcPr>
          <w:p>
            <w:pPr>
              <w:pStyle w:val="26"/>
            </w:pPr>
            <w:r>
              <w:t>展示承德市工业固废资源综合利用成果</w:t>
            </w:r>
          </w:p>
        </w:tc>
        <w:tc>
          <w:tcPr>
            <w:tcW w:w="2551" w:type="dxa"/>
            <w:vAlign w:val="center"/>
          </w:tcPr>
          <w:p>
            <w:pPr>
              <w:pStyle w:val="26"/>
            </w:pPr>
            <w:r>
              <w:t>展示承德市工业固废资源综合利用成果</w:t>
            </w:r>
          </w:p>
        </w:tc>
        <w:tc>
          <w:tcPr>
            <w:tcW w:w="2268" w:type="dxa"/>
            <w:vAlign w:val="center"/>
          </w:tcPr>
          <w:p>
            <w:pPr>
              <w:pStyle w:val="26"/>
            </w:pPr>
            <w:r>
              <w:t>会议方案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生态效益指标</w:t>
            </w:r>
          </w:p>
        </w:tc>
        <w:tc>
          <w:tcPr>
            <w:tcW w:w="2835" w:type="dxa"/>
            <w:vAlign w:val="center"/>
          </w:tcPr>
          <w:p>
            <w:pPr>
              <w:pStyle w:val="26"/>
            </w:pPr>
            <w:r>
              <w:t>生态环境质量改善</w:t>
            </w:r>
          </w:p>
        </w:tc>
        <w:tc>
          <w:tcPr>
            <w:tcW w:w="2835" w:type="dxa"/>
            <w:vAlign w:val="center"/>
          </w:tcPr>
          <w:p>
            <w:pPr>
              <w:pStyle w:val="26"/>
            </w:pPr>
            <w:r>
              <w:t>生态环境质量改善</w:t>
            </w:r>
          </w:p>
        </w:tc>
        <w:tc>
          <w:tcPr>
            <w:tcW w:w="2551" w:type="dxa"/>
            <w:vAlign w:val="center"/>
          </w:tcPr>
          <w:p>
            <w:pPr>
              <w:pStyle w:val="26"/>
            </w:pPr>
            <w:r>
              <w:t>生态环境质量改善</w:t>
            </w:r>
          </w:p>
        </w:tc>
        <w:tc>
          <w:tcPr>
            <w:tcW w:w="2268" w:type="dxa"/>
            <w:vAlign w:val="center"/>
          </w:tcPr>
          <w:p>
            <w:pPr>
              <w:pStyle w:val="26"/>
            </w:pPr>
            <w:r>
              <w:t>会议方案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可持续影响指标</w:t>
            </w:r>
          </w:p>
        </w:tc>
        <w:tc>
          <w:tcPr>
            <w:tcW w:w="2835" w:type="dxa"/>
            <w:vAlign w:val="center"/>
          </w:tcPr>
          <w:p>
            <w:pPr>
              <w:pStyle w:val="26"/>
            </w:pPr>
            <w:r>
              <w:t>创造性转化，创新性发展</w:t>
            </w:r>
          </w:p>
        </w:tc>
        <w:tc>
          <w:tcPr>
            <w:tcW w:w="2835" w:type="dxa"/>
            <w:vAlign w:val="center"/>
          </w:tcPr>
          <w:p>
            <w:pPr>
              <w:pStyle w:val="26"/>
            </w:pPr>
            <w:r>
              <w:t>创造性转化，创新性发展</w:t>
            </w:r>
          </w:p>
        </w:tc>
        <w:tc>
          <w:tcPr>
            <w:tcW w:w="2551" w:type="dxa"/>
            <w:vAlign w:val="center"/>
          </w:tcPr>
          <w:p>
            <w:pPr>
              <w:pStyle w:val="26"/>
            </w:pPr>
            <w:r>
              <w:t>创造性转化，创新性发展</w:t>
            </w:r>
          </w:p>
        </w:tc>
        <w:tc>
          <w:tcPr>
            <w:tcW w:w="2268" w:type="dxa"/>
            <w:vAlign w:val="center"/>
          </w:tcPr>
          <w:p>
            <w:pPr>
              <w:pStyle w:val="26"/>
            </w:pPr>
            <w:r>
              <w:t>会议方案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参会人员满意度</w:t>
            </w:r>
          </w:p>
        </w:tc>
        <w:tc>
          <w:tcPr>
            <w:tcW w:w="2835" w:type="dxa"/>
            <w:vAlign w:val="center"/>
          </w:tcPr>
          <w:p>
            <w:pPr>
              <w:pStyle w:val="26"/>
            </w:pPr>
            <w:r>
              <w:t>参会人员满意度</w:t>
            </w:r>
          </w:p>
        </w:tc>
        <w:tc>
          <w:tcPr>
            <w:tcW w:w="2551" w:type="dxa"/>
            <w:vAlign w:val="center"/>
          </w:tcPr>
          <w:p>
            <w:pPr>
              <w:pStyle w:val="26"/>
            </w:pPr>
            <w:r>
              <w:t>参会人员满意度</w:t>
            </w:r>
          </w:p>
        </w:tc>
        <w:tc>
          <w:tcPr>
            <w:tcW w:w="2268" w:type="dxa"/>
            <w:vAlign w:val="center"/>
          </w:tcPr>
          <w:p>
            <w:pPr>
              <w:pStyle w:val="26"/>
            </w:pPr>
            <w:r>
              <w:t>会议方案</w:t>
            </w:r>
          </w:p>
        </w:tc>
      </w:tr>
    </w:tbl>
    <w:p>
      <w:pPr>
        <w:pStyle w:val="24"/>
      </w:pPr>
    </w:p>
    <w:p>
      <w:pPr>
        <w:pStyle w:val="24"/>
        <w:ind w:firstLine="560"/>
      </w:pPr>
      <w:r>
        <w:rPr>
          <w:rFonts w:ascii="方正仿宋_GBK" w:hAnsi="方正仿宋_GBK" w:eastAsia="方正仿宋_GBK" w:cs="方正仿宋_GBK"/>
          <w:b/>
          <w:color w:val="000000"/>
          <w:sz w:val="28"/>
        </w:rPr>
        <w:t>3、工业高质量发展“十四五”规划编制、新型建材产业“十四五”规划编制、智能装备制造产业“十四五”规划编制经费绩效目标表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1.按照合同规定时限完成《承德市工业高质量发展“十四五”规划、新型建材产业“十四五”规划编制、智能装备制造产业“十四五”规划》编制工作</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征求市直相关部门意见</w:t>
            </w:r>
          </w:p>
        </w:tc>
        <w:tc>
          <w:tcPr>
            <w:tcW w:w="2835" w:type="dxa"/>
            <w:vAlign w:val="center"/>
          </w:tcPr>
          <w:p>
            <w:pPr>
              <w:pStyle w:val="26"/>
            </w:pPr>
            <w:r>
              <w:t>征求相关市直有关部门对规划编制的相关意见至少一次</w:t>
            </w:r>
          </w:p>
        </w:tc>
        <w:tc>
          <w:tcPr>
            <w:tcW w:w="2551" w:type="dxa"/>
            <w:vAlign w:val="center"/>
          </w:tcPr>
          <w:p>
            <w:pPr>
              <w:pStyle w:val="26"/>
            </w:pPr>
            <w:r>
              <w:t>≥1</w:t>
            </w:r>
          </w:p>
        </w:tc>
        <w:tc>
          <w:tcPr>
            <w:tcW w:w="2268" w:type="dxa"/>
            <w:vAlign w:val="center"/>
          </w:tcPr>
          <w:p>
            <w:pPr>
              <w:pStyle w:val="26"/>
            </w:pPr>
            <w:r>
              <w:t>规划编制程序要求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规划编制符合项目建设书要求</w:t>
            </w:r>
          </w:p>
        </w:tc>
        <w:tc>
          <w:tcPr>
            <w:tcW w:w="2835" w:type="dxa"/>
            <w:vAlign w:val="center"/>
          </w:tcPr>
          <w:p>
            <w:pPr>
              <w:pStyle w:val="26"/>
            </w:pPr>
            <w:r>
              <w:t>规划具有科学性、适用性、指导性作用。</w:t>
            </w:r>
          </w:p>
        </w:tc>
        <w:tc>
          <w:tcPr>
            <w:tcW w:w="2551" w:type="dxa"/>
            <w:vAlign w:val="center"/>
          </w:tcPr>
          <w:p>
            <w:pPr>
              <w:pStyle w:val="26"/>
            </w:pPr>
            <w:r>
              <w:t>规划具有科学性、适用性、指导性作用。</w:t>
            </w:r>
          </w:p>
        </w:tc>
        <w:tc>
          <w:tcPr>
            <w:tcW w:w="2268" w:type="dxa"/>
            <w:vAlign w:val="center"/>
          </w:tcPr>
          <w:p>
            <w:pPr>
              <w:pStyle w:val="26"/>
            </w:pPr>
            <w:r>
              <w:t>规划编制合同要求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规划编制完成及时率</w:t>
            </w:r>
          </w:p>
        </w:tc>
        <w:tc>
          <w:tcPr>
            <w:tcW w:w="2835" w:type="dxa"/>
            <w:vAlign w:val="center"/>
          </w:tcPr>
          <w:p>
            <w:pPr>
              <w:pStyle w:val="26"/>
            </w:pPr>
            <w:r>
              <w:t>按照规划合同的时限要求及时完成编制工作</w:t>
            </w:r>
          </w:p>
        </w:tc>
        <w:tc>
          <w:tcPr>
            <w:tcW w:w="2551" w:type="dxa"/>
            <w:vAlign w:val="center"/>
          </w:tcPr>
          <w:p>
            <w:pPr>
              <w:pStyle w:val="26"/>
            </w:pPr>
            <w:r>
              <w:t>≤132</w:t>
            </w:r>
          </w:p>
        </w:tc>
        <w:tc>
          <w:tcPr>
            <w:tcW w:w="2268" w:type="dxa"/>
            <w:vAlign w:val="center"/>
          </w:tcPr>
          <w:p>
            <w:pPr>
              <w:pStyle w:val="26"/>
            </w:pPr>
            <w:r>
              <w:t>规划编制合同要求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成本控制率</w:t>
            </w:r>
          </w:p>
        </w:tc>
        <w:tc>
          <w:tcPr>
            <w:tcW w:w="2835" w:type="dxa"/>
            <w:vAlign w:val="center"/>
          </w:tcPr>
          <w:p>
            <w:pPr>
              <w:pStyle w:val="26"/>
            </w:pPr>
            <w:r>
              <w:t>年度支出不大于财政预算资金</w:t>
            </w:r>
          </w:p>
        </w:tc>
        <w:tc>
          <w:tcPr>
            <w:tcW w:w="2551" w:type="dxa"/>
            <w:vAlign w:val="center"/>
          </w:tcPr>
          <w:p>
            <w:pPr>
              <w:pStyle w:val="26"/>
            </w:pPr>
            <w:r>
              <w:t>≤88.9</w:t>
            </w:r>
          </w:p>
        </w:tc>
        <w:tc>
          <w:tcPr>
            <w:tcW w:w="2268" w:type="dxa"/>
            <w:vAlign w:val="center"/>
          </w:tcPr>
          <w:p>
            <w:pPr>
              <w:pStyle w:val="26"/>
            </w:pPr>
            <w:r>
              <w:t xml:space="preserve">预算批复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促进工业企业效益水平</w:t>
            </w:r>
          </w:p>
        </w:tc>
        <w:tc>
          <w:tcPr>
            <w:tcW w:w="2835" w:type="dxa"/>
            <w:vAlign w:val="center"/>
          </w:tcPr>
          <w:p>
            <w:pPr>
              <w:pStyle w:val="26"/>
            </w:pPr>
            <w:r>
              <w:t>指导全市工业产业聚集、产业链补链、强链、延链、企业转型升级持续推进，提升产业核心竞争力和经济效益水平。</w:t>
            </w:r>
          </w:p>
        </w:tc>
        <w:tc>
          <w:tcPr>
            <w:tcW w:w="2551" w:type="dxa"/>
            <w:vAlign w:val="center"/>
          </w:tcPr>
          <w:p>
            <w:pPr>
              <w:pStyle w:val="26"/>
            </w:pPr>
            <w:r>
              <w:t>指导全市工业产业聚集、产业链补链、强链、延链、企业转型升级持续推进，提升产业核心竞争力和经济效益水平。</w:t>
            </w:r>
          </w:p>
        </w:tc>
        <w:tc>
          <w:tcPr>
            <w:tcW w:w="2268" w:type="dxa"/>
            <w:vAlign w:val="center"/>
          </w:tcPr>
          <w:p>
            <w:pPr>
              <w:pStyle w:val="26"/>
            </w:pPr>
            <w:r>
              <w:t>规划编制要求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生态效益指标</w:t>
            </w:r>
          </w:p>
        </w:tc>
        <w:tc>
          <w:tcPr>
            <w:tcW w:w="2835" w:type="dxa"/>
            <w:vAlign w:val="center"/>
          </w:tcPr>
          <w:p>
            <w:pPr>
              <w:pStyle w:val="26"/>
            </w:pPr>
            <w:r>
              <w:t>推动工业企业绿色发展</w:t>
            </w:r>
          </w:p>
        </w:tc>
        <w:tc>
          <w:tcPr>
            <w:tcW w:w="2835" w:type="dxa"/>
            <w:vAlign w:val="center"/>
          </w:tcPr>
          <w:p>
            <w:pPr>
              <w:pStyle w:val="26"/>
            </w:pPr>
            <w:r>
              <w:t>按照国家、省关于工业企业发展的相关政策，在规划中明确工业企业环境保护、绿色发展方向和路径。</w:t>
            </w:r>
          </w:p>
        </w:tc>
        <w:tc>
          <w:tcPr>
            <w:tcW w:w="2551" w:type="dxa"/>
            <w:vAlign w:val="center"/>
          </w:tcPr>
          <w:p>
            <w:pPr>
              <w:pStyle w:val="26"/>
            </w:pPr>
            <w:r>
              <w:t>按照国家、省关于工业企业发展的相关政策，在规划中明确工业企业环境保护、绿色发展方向和路径。</w:t>
            </w:r>
          </w:p>
        </w:tc>
        <w:tc>
          <w:tcPr>
            <w:tcW w:w="2268" w:type="dxa"/>
            <w:vAlign w:val="center"/>
          </w:tcPr>
          <w:p>
            <w:pPr>
              <w:pStyle w:val="26"/>
            </w:pPr>
            <w:r>
              <w:t>按照国家、省和我市产业定位相关政策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可持续影响指标</w:t>
            </w:r>
          </w:p>
        </w:tc>
        <w:tc>
          <w:tcPr>
            <w:tcW w:w="2835" w:type="dxa"/>
            <w:vAlign w:val="center"/>
          </w:tcPr>
          <w:p>
            <w:pPr>
              <w:pStyle w:val="26"/>
            </w:pPr>
            <w:r>
              <w:t>指导全市工业高质量发展</w:t>
            </w:r>
          </w:p>
        </w:tc>
        <w:tc>
          <w:tcPr>
            <w:tcW w:w="2835" w:type="dxa"/>
            <w:vAlign w:val="center"/>
          </w:tcPr>
          <w:p>
            <w:pPr>
              <w:pStyle w:val="26"/>
            </w:pPr>
            <w:r>
              <w:t>规划要指导全市“十四五”期间工业高质量健康发展</w:t>
            </w:r>
          </w:p>
        </w:tc>
        <w:tc>
          <w:tcPr>
            <w:tcW w:w="2551" w:type="dxa"/>
            <w:vAlign w:val="center"/>
          </w:tcPr>
          <w:p>
            <w:pPr>
              <w:pStyle w:val="26"/>
            </w:pPr>
            <w:r>
              <w:t>规划要指导全市“十四五”期间工业高质量健康发展</w:t>
            </w:r>
          </w:p>
        </w:tc>
        <w:tc>
          <w:tcPr>
            <w:tcW w:w="2268" w:type="dxa"/>
            <w:vAlign w:val="center"/>
          </w:tcPr>
          <w:p>
            <w:pPr>
              <w:pStyle w:val="26"/>
            </w:pPr>
            <w:r>
              <w:t>规划编制要求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经济效益指标</w:t>
            </w:r>
          </w:p>
        </w:tc>
        <w:tc>
          <w:tcPr>
            <w:tcW w:w="2835" w:type="dxa"/>
            <w:vAlign w:val="center"/>
          </w:tcPr>
          <w:p>
            <w:pPr>
              <w:pStyle w:val="26"/>
            </w:pPr>
            <w:r>
              <w:t>不涉及</w:t>
            </w:r>
          </w:p>
        </w:tc>
        <w:tc>
          <w:tcPr>
            <w:tcW w:w="2835" w:type="dxa"/>
            <w:vAlign w:val="center"/>
          </w:tcPr>
          <w:p>
            <w:pPr>
              <w:pStyle w:val="26"/>
            </w:pPr>
            <w:r>
              <w:t>不涉及</w:t>
            </w:r>
          </w:p>
        </w:tc>
        <w:tc>
          <w:tcPr>
            <w:tcW w:w="2551" w:type="dxa"/>
            <w:vAlign w:val="center"/>
          </w:tcPr>
          <w:p>
            <w:pPr>
              <w:pStyle w:val="26"/>
            </w:pPr>
            <w:r>
              <w:t>不涉及</w:t>
            </w:r>
          </w:p>
        </w:tc>
        <w:tc>
          <w:tcPr>
            <w:tcW w:w="2268" w:type="dxa"/>
            <w:vAlign w:val="center"/>
          </w:tcPr>
          <w:p>
            <w:pPr>
              <w:pStyle w:val="2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满意度</w:t>
            </w:r>
          </w:p>
        </w:tc>
        <w:tc>
          <w:tcPr>
            <w:tcW w:w="2835" w:type="dxa"/>
            <w:vAlign w:val="center"/>
          </w:tcPr>
          <w:p>
            <w:pPr>
              <w:pStyle w:val="26"/>
            </w:pPr>
            <w:r>
              <w:t>工业企业满意度测评</w:t>
            </w:r>
          </w:p>
        </w:tc>
        <w:tc>
          <w:tcPr>
            <w:tcW w:w="2551" w:type="dxa"/>
            <w:vAlign w:val="center"/>
          </w:tcPr>
          <w:p>
            <w:pPr>
              <w:pStyle w:val="26"/>
            </w:pPr>
            <w:r>
              <w:t>≥90</w:t>
            </w:r>
          </w:p>
        </w:tc>
        <w:tc>
          <w:tcPr>
            <w:tcW w:w="2268" w:type="dxa"/>
            <w:vAlign w:val="center"/>
          </w:tcPr>
          <w:p>
            <w:pPr>
              <w:pStyle w:val="26"/>
            </w:pPr>
            <w:r>
              <w:t>规划编制要求</w:t>
            </w:r>
          </w:p>
        </w:tc>
      </w:tr>
    </w:tbl>
    <w:p>
      <w:pPr>
        <w:pStyle w:val="24"/>
      </w:pPr>
    </w:p>
    <w:p>
      <w:pPr>
        <w:pStyle w:val="24"/>
        <w:ind w:firstLine="560"/>
      </w:pPr>
      <w:r>
        <w:rPr>
          <w:rFonts w:ascii="方正仿宋_GBK" w:hAnsi="方正仿宋_GBK" w:eastAsia="方正仿宋_GBK" w:cs="方正仿宋_GBK"/>
          <w:b/>
          <w:color w:val="000000"/>
          <w:sz w:val="28"/>
        </w:rPr>
        <w:t>4、工业和信息化产业发展资金绩效目标表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1.鼓励企业加快发展，推动工业经济提质增效。</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奖补规上工业企业数量</w:t>
            </w:r>
          </w:p>
        </w:tc>
        <w:tc>
          <w:tcPr>
            <w:tcW w:w="2835" w:type="dxa"/>
            <w:vAlign w:val="center"/>
          </w:tcPr>
          <w:p>
            <w:pPr>
              <w:pStyle w:val="26"/>
            </w:pPr>
            <w:r>
              <w:t>奖补规上工业企业数量</w:t>
            </w:r>
          </w:p>
        </w:tc>
        <w:tc>
          <w:tcPr>
            <w:tcW w:w="2551" w:type="dxa"/>
            <w:vAlign w:val="center"/>
          </w:tcPr>
          <w:p>
            <w:pPr>
              <w:pStyle w:val="26"/>
            </w:pPr>
            <w:r>
              <w:t>≥420奖补规上工业企业420家以上</w:t>
            </w:r>
          </w:p>
        </w:tc>
        <w:tc>
          <w:tcPr>
            <w:tcW w:w="2268" w:type="dxa"/>
            <w:vAlign w:val="center"/>
          </w:tcPr>
          <w:p>
            <w:pPr>
              <w:pStyle w:val="26"/>
            </w:pPr>
            <w:r>
              <w:t>2022年规上工业名录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完成情况</w:t>
            </w:r>
          </w:p>
        </w:tc>
        <w:tc>
          <w:tcPr>
            <w:tcW w:w="2835" w:type="dxa"/>
            <w:vAlign w:val="center"/>
          </w:tcPr>
          <w:p>
            <w:pPr>
              <w:pStyle w:val="26"/>
            </w:pPr>
            <w:r>
              <w:t>”亩均论英雄“平台完成情况</w:t>
            </w:r>
          </w:p>
        </w:tc>
        <w:tc>
          <w:tcPr>
            <w:tcW w:w="2551" w:type="dxa"/>
            <w:vAlign w:val="center"/>
          </w:tcPr>
          <w:p>
            <w:pPr>
              <w:pStyle w:val="26"/>
            </w:pPr>
            <w:r>
              <w:t>”亩均论英雄“平台正常运行行</w:t>
            </w:r>
          </w:p>
        </w:tc>
        <w:tc>
          <w:tcPr>
            <w:tcW w:w="2268" w:type="dxa"/>
            <w:vAlign w:val="center"/>
          </w:tcPr>
          <w:p>
            <w:pPr>
              <w:pStyle w:val="26"/>
            </w:pPr>
            <w:r>
              <w:t>市”亩均论英雄“文件要求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 xml:space="preserve">监测上报及时率 </w:t>
            </w:r>
          </w:p>
        </w:tc>
        <w:tc>
          <w:tcPr>
            <w:tcW w:w="2835" w:type="dxa"/>
            <w:vAlign w:val="center"/>
          </w:tcPr>
          <w:p>
            <w:pPr>
              <w:pStyle w:val="26"/>
            </w:pPr>
            <w:r>
              <w:t xml:space="preserve">监测上报及时率 </w:t>
            </w:r>
          </w:p>
        </w:tc>
        <w:tc>
          <w:tcPr>
            <w:tcW w:w="2551" w:type="dxa"/>
            <w:vAlign w:val="center"/>
          </w:tcPr>
          <w:p>
            <w:pPr>
              <w:pStyle w:val="26"/>
            </w:pPr>
            <w:r>
              <w:t>≥90监测上报及时率90%以上</w:t>
            </w:r>
          </w:p>
        </w:tc>
        <w:tc>
          <w:tcPr>
            <w:tcW w:w="2268" w:type="dxa"/>
            <w:vAlign w:val="center"/>
          </w:tcPr>
          <w:p>
            <w:pPr>
              <w:pStyle w:val="26"/>
            </w:pPr>
            <w:r>
              <w:t>2022年监测平台月度上报及时性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成本控制率</w:t>
            </w:r>
          </w:p>
        </w:tc>
        <w:tc>
          <w:tcPr>
            <w:tcW w:w="2835" w:type="dxa"/>
            <w:vAlign w:val="center"/>
          </w:tcPr>
          <w:p>
            <w:pPr>
              <w:pStyle w:val="26"/>
            </w:pPr>
            <w:r>
              <w:t>专项经费控制数</w:t>
            </w:r>
          </w:p>
        </w:tc>
        <w:tc>
          <w:tcPr>
            <w:tcW w:w="2551" w:type="dxa"/>
            <w:vAlign w:val="center"/>
          </w:tcPr>
          <w:p>
            <w:pPr>
              <w:pStyle w:val="26"/>
            </w:pPr>
            <w:r>
              <w:t>≤200专项经费控制200万以内</w:t>
            </w:r>
          </w:p>
        </w:tc>
        <w:tc>
          <w:tcPr>
            <w:tcW w:w="2268" w:type="dxa"/>
            <w:vAlign w:val="center"/>
          </w:tcPr>
          <w:p>
            <w:pPr>
              <w:pStyle w:val="26"/>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经济效益指标</w:t>
            </w:r>
          </w:p>
        </w:tc>
        <w:tc>
          <w:tcPr>
            <w:tcW w:w="2835" w:type="dxa"/>
            <w:vAlign w:val="center"/>
          </w:tcPr>
          <w:p>
            <w:pPr>
              <w:pStyle w:val="26"/>
            </w:pPr>
            <w:r>
              <w:t>促进经济发展</w:t>
            </w:r>
          </w:p>
        </w:tc>
        <w:tc>
          <w:tcPr>
            <w:tcW w:w="2835" w:type="dxa"/>
            <w:vAlign w:val="center"/>
          </w:tcPr>
          <w:p>
            <w:pPr>
              <w:pStyle w:val="26"/>
            </w:pPr>
            <w:r>
              <w:t>对工业经济发展促进作用</w:t>
            </w:r>
          </w:p>
        </w:tc>
        <w:tc>
          <w:tcPr>
            <w:tcW w:w="2551" w:type="dxa"/>
            <w:vAlign w:val="center"/>
          </w:tcPr>
          <w:p>
            <w:pPr>
              <w:pStyle w:val="26"/>
            </w:pPr>
            <w:r>
              <w:t>促进经济发展</w:t>
            </w:r>
          </w:p>
        </w:tc>
        <w:tc>
          <w:tcPr>
            <w:tcW w:w="2268" w:type="dxa"/>
            <w:vAlign w:val="center"/>
          </w:tcPr>
          <w:p>
            <w:pPr>
              <w:pStyle w:val="26"/>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社会效益指标</w:t>
            </w:r>
          </w:p>
        </w:tc>
        <w:tc>
          <w:tcPr>
            <w:tcW w:w="2835" w:type="dxa"/>
            <w:vAlign w:val="center"/>
          </w:tcPr>
          <w:p>
            <w:pPr>
              <w:pStyle w:val="26"/>
            </w:pPr>
            <w:r>
              <w:t>推进转型升级</w:t>
            </w:r>
          </w:p>
        </w:tc>
        <w:tc>
          <w:tcPr>
            <w:tcW w:w="2835" w:type="dxa"/>
            <w:vAlign w:val="center"/>
          </w:tcPr>
          <w:p>
            <w:pPr>
              <w:pStyle w:val="26"/>
            </w:pPr>
            <w:r>
              <w:t>对工业发展促进作用</w:t>
            </w:r>
          </w:p>
        </w:tc>
        <w:tc>
          <w:tcPr>
            <w:tcW w:w="2551" w:type="dxa"/>
            <w:vAlign w:val="center"/>
          </w:tcPr>
          <w:p>
            <w:pPr>
              <w:pStyle w:val="26"/>
            </w:pPr>
            <w:r>
              <w:t>促进转型升级</w:t>
            </w:r>
          </w:p>
        </w:tc>
        <w:tc>
          <w:tcPr>
            <w:tcW w:w="2268" w:type="dxa"/>
            <w:vAlign w:val="center"/>
          </w:tcPr>
          <w:p>
            <w:pPr>
              <w:pStyle w:val="26"/>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生态效益指标</w:t>
            </w:r>
          </w:p>
        </w:tc>
        <w:tc>
          <w:tcPr>
            <w:tcW w:w="2835" w:type="dxa"/>
            <w:vAlign w:val="center"/>
          </w:tcPr>
          <w:p>
            <w:pPr>
              <w:pStyle w:val="26"/>
            </w:pPr>
            <w:r>
              <w:t>推进绿色发展</w:t>
            </w:r>
          </w:p>
        </w:tc>
        <w:tc>
          <w:tcPr>
            <w:tcW w:w="2835" w:type="dxa"/>
            <w:vAlign w:val="center"/>
          </w:tcPr>
          <w:p>
            <w:pPr>
              <w:pStyle w:val="26"/>
            </w:pPr>
            <w:r>
              <w:t>对工业绿色发展具有促进作用</w:t>
            </w:r>
          </w:p>
        </w:tc>
        <w:tc>
          <w:tcPr>
            <w:tcW w:w="2551" w:type="dxa"/>
            <w:vAlign w:val="center"/>
          </w:tcPr>
          <w:p>
            <w:pPr>
              <w:pStyle w:val="26"/>
            </w:pPr>
            <w:r>
              <w:t>促进绿色发展</w:t>
            </w:r>
          </w:p>
        </w:tc>
        <w:tc>
          <w:tcPr>
            <w:tcW w:w="2268" w:type="dxa"/>
            <w:vAlign w:val="center"/>
          </w:tcPr>
          <w:p>
            <w:pPr>
              <w:pStyle w:val="26"/>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可持续影响指标</w:t>
            </w:r>
          </w:p>
        </w:tc>
        <w:tc>
          <w:tcPr>
            <w:tcW w:w="2835" w:type="dxa"/>
            <w:vAlign w:val="center"/>
          </w:tcPr>
          <w:p>
            <w:pPr>
              <w:pStyle w:val="26"/>
            </w:pPr>
            <w:r>
              <w:t>保障业务正常进行</w:t>
            </w:r>
          </w:p>
        </w:tc>
        <w:tc>
          <w:tcPr>
            <w:tcW w:w="2835" w:type="dxa"/>
            <w:vAlign w:val="center"/>
          </w:tcPr>
          <w:p>
            <w:pPr>
              <w:pStyle w:val="26"/>
            </w:pPr>
            <w:r>
              <w:t>保障工业信息化工作正常开展</w:t>
            </w:r>
          </w:p>
        </w:tc>
        <w:tc>
          <w:tcPr>
            <w:tcW w:w="2551" w:type="dxa"/>
            <w:vAlign w:val="center"/>
          </w:tcPr>
          <w:p>
            <w:pPr>
              <w:pStyle w:val="26"/>
            </w:pPr>
            <w:r>
              <w:t>保障工业信息化工作正常开展</w:t>
            </w:r>
          </w:p>
        </w:tc>
        <w:tc>
          <w:tcPr>
            <w:tcW w:w="2268" w:type="dxa"/>
            <w:vAlign w:val="center"/>
          </w:tcPr>
          <w:p>
            <w:pPr>
              <w:pStyle w:val="26"/>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企业满意度</w:t>
            </w:r>
          </w:p>
        </w:tc>
        <w:tc>
          <w:tcPr>
            <w:tcW w:w="2835" w:type="dxa"/>
            <w:vAlign w:val="center"/>
          </w:tcPr>
          <w:p>
            <w:pPr>
              <w:pStyle w:val="26"/>
            </w:pPr>
            <w:r>
              <w:t>企业满意度</w:t>
            </w:r>
          </w:p>
        </w:tc>
        <w:tc>
          <w:tcPr>
            <w:tcW w:w="2551" w:type="dxa"/>
            <w:vAlign w:val="center"/>
          </w:tcPr>
          <w:p>
            <w:pPr>
              <w:pStyle w:val="26"/>
            </w:pPr>
            <w:r>
              <w:t>≥90服务企业满意度</w:t>
            </w:r>
          </w:p>
        </w:tc>
        <w:tc>
          <w:tcPr>
            <w:tcW w:w="2268" w:type="dxa"/>
            <w:vAlign w:val="center"/>
          </w:tcPr>
          <w:p>
            <w:pPr>
              <w:pStyle w:val="26"/>
            </w:pPr>
            <w:r>
              <w:t>工作目标</w:t>
            </w:r>
          </w:p>
        </w:tc>
      </w:tr>
    </w:tbl>
    <w:p>
      <w:pPr>
        <w:pStyle w:val="24"/>
      </w:pPr>
    </w:p>
    <w:p>
      <w:pPr>
        <w:pStyle w:val="24"/>
        <w:ind w:firstLine="560"/>
      </w:pPr>
      <w:r>
        <w:rPr>
          <w:rFonts w:ascii="方正仿宋_GBK" w:hAnsi="方正仿宋_GBK" w:eastAsia="方正仿宋_GBK" w:cs="方正仿宋_GBK"/>
          <w:b/>
          <w:color w:val="000000"/>
          <w:sz w:val="28"/>
        </w:rPr>
        <w:t>5、中国数字经济博览会承德会展绩效目标表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1.完成布展任务</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企业数量</w:t>
            </w:r>
          </w:p>
        </w:tc>
        <w:tc>
          <w:tcPr>
            <w:tcW w:w="2835" w:type="dxa"/>
            <w:vAlign w:val="center"/>
          </w:tcPr>
          <w:p>
            <w:pPr>
              <w:pStyle w:val="26"/>
            </w:pPr>
            <w:r>
              <w:t>参加展会的企业数量</w:t>
            </w:r>
          </w:p>
        </w:tc>
        <w:tc>
          <w:tcPr>
            <w:tcW w:w="2551" w:type="dxa"/>
            <w:vAlign w:val="center"/>
          </w:tcPr>
          <w:p>
            <w:pPr>
              <w:pStyle w:val="26"/>
            </w:pPr>
            <w:r>
              <w:t>≥10</w:t>
            </w:r>
          </w:p>
        </w:tc>
        <w:tc>
          <w:tcPr>
            <w:tcW w:w="2268" w:type="dxa"/>
            <w:vAlign w:val="center"/>
          </w:tcPr>
          <w:p>
            <w:pPr>
              <w:pStyle w:val="26"/>
            </w:pPr>
            <w:r>
              <w:t>参展方案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企业知名度</w:t>
            </w:r>
          </w:p>
        </w:tc>
        <w:tc>
          <w:tcPr>
            <w:tcW w:w="2835" w:type="dxa"/>
            <w:vAlign w:val="center"/>
          </w:tcPr>
          <w:p>
            <w:pPr>
              <w:pStyle w:val="26"/>
            </w:pPr>
            <w:r>
              <w:t>是否提高了企业知名度</w:t>
            </w:r>
          </w:p>
        </w:tc>
        <w:tc>
          <w:tcPr>
            <w:tcW w:w="2551" w:type="dxa"/>
            <w:vAlign w:val="center"/>
          </w:tcPr>
          <w:p>
            <w:pPr>
              <w:pStyle w:val="26"/>
            </w:pPr>
            <w:r>
              <w:t>是否提高了企业知名度</w:t>
            </w:r>
          </w:p>
        </w:tc>
        <w:tc>
          <w:tcPr>
            <w:tcW w:w="2268" w:type="dxa"/>
            <w:vAlign w:val="center"/>
          </w:tcPr>
          <w:p>
            <w:pPr>
              <w:pStyle w:val="26"/>
            </w:pPr>
            <w:r>
              <w:t>参展方案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组织参展时间</w:t>
            </w:r>
          </w:p>
        </w:tc>
        <w:tc>
          <w:tcPr>
            <w:tcW w:w="2835" w:type="dxa"/>
            <w:vAlign w:val="center"/>
          </w:tcPr>
          <w:p>
            <w:pPr>
              <w:pStyle w:val="26"/>
            </w:pPr>
            <w:r>
              <w:t>按时组织参加展会</w:t>
            </w:r>
          </w:p>
        </w:tc>
        <w:tc>
          <w:tcPr>
            <w:tcW w:w="2551" w:type="dxa"/>
            <w:vAlign w:val="center"/>
          </w:tcPr>
          <w:p>
            <w:pPr>
              <w:pStyle w:val="26"/>
            </w:pPr>
            <w:r>
              <w:t>按时组织参加展会</w:t>
            </w:r>
          </w:p>
        </w:tc>
        <w:tc>
          <w:tcPr>
            <w:tcW w:w="2268" w:type="dxa"/>
            <w:vAlign w:val="center"/>
          </w:tcPr>
          <w:p>
            <w:pPr>
              <w:pStyle w:val="26"/>
            </w:pPr>
            <w:r>
              <w:t xml:space="preserve">根据省政府安排确定时间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成本控制率</w:t>
            </w:r>
          </w:p>
        </w:tc>
        <w:tc>
          <w:tcPr>
            <w:tcW w:w="2835" w:type="dxa"/>
            <w:vAlign w:val="center"/>
          </w:tcPr>
          <w:p>
            <w:pPr>
              <w:pStyle w:val="26"/>
            </w:pPr>
            <w:r>
              <w:t>专项工作经费控制数</w:t>
            </w:r>
          </w:p>
        </w:tc>
        <w:tc>
          <w:tcPr>
            <w:tcW w:w="2551" w:type="dxa"/>
            <w:vAlign w:val="center"/>
          </w:tcPr>
          <w:p>
            <w:pPr>
              <w:pStyle w:val="26"/>
            </w:pPr>
            <w:r>
              <w:t xml:space="preserve">≤100支出不超过100万  </w:t>
            </w:r>
          </w:p>
        </w:tc>
        <w:tc>
          <w:tcPr>
            <w:tcW w:w="2268" w:type="dxa"/>
            <w:vAlign w:val="center"/>
          </w:tcPr>
          <w:p>
            <w:pPr>
              <w:pStyle w:val="26"/>
            </w:pPr>
            <w:r>
              <w:t>预算批复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经济效益指标</w:t>
            </w:r>
          </w:p>
        </w:tc>
        <w:tc>
          <w:tcPr>
            <w:tcW w:w="2835" w:type="dxa"/>
            <w:vAlign w:val="center"/>
          </w:tcPr>
          <w:p>
            <w:pPr>
              <w:pStyle w:val="26"/>
            </w:pPr>
            <w:r>
              <w:t>推动承德经济发展</w:t>
            </w:r>
          </w:p>
        </w:tc>
        <w:tc>
          <w:tcPr>
            <w:tcW w:w="2835" w:type="dxa"/>
            <w:vAlign w:val="center"/>
          </w:tcPr>
          <w:p>
            <w:pPr>
              <w:pStyle w:val="26"/>
            </w:pPr>
            <w:r>
              <w:t>推动承德经济发展</w:t>
            </w:r>
          </w:p>
        </w:tc>
        <w:tc>
          <w:tcPr>
            <w:tcW w:w="2551" w:type="dxa"/>
            <w:vAlign w:val="center"/>
          </w:tcPr>
          <w:p>
            <w:pPr>
              <w:pStyle w:val="26"/>
            </w:pPr>
            <w:r>
              <w:t>推动承德经济发展</w:t>
            </w:r>
          </w:p>
        </w:tc>
        <w:tc>
          <w:tcPr>
            <w:tcW w:w="2268" w:type="dxa"/>
            <w:vAlign w:val="center"/>
          </w:tcPr>
          <w:p>
            <w:pPr>
              <w:pStyle w:val="26"/>
            </w:pPr>
            <w:r>
              <w:t>历史经验水平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社会效益指标</w:t>
            </w:r>
          </w:p>
        </w:tc>
        <w:tc>
          <w:tcPr>
            <w:tcW w:w="2835" w:type="dxa"/>
            <w:vAlign w:val="center"/>
          </w:tcPr>
          <w:p>
            <w:pPr>
              <w:pStyle w:val="26"/>
            </w:pPr>
            <w:r>
              <w:t>媒体是否进行报道</w:t>
            </w:r>
          </w:p>
        </w:tc>
        <w:tc>
          <w:tcPr>
            <w:tcW w:w="2835" w:type="dxa"/>
            <w:vAlign w:val="center"/>
          </w:tcPr>
          <w:p>
            <w:pPr>
              <w:pStyle w:val="26"/>
            </w:pPr>
            <w:r>
              <w:t>媒体是否进行报道</w:t>
            </w:r>
          </w:p>
        </w:tc>
        <w:tc>
          <w:tcPr>
            <w:tcW w:w="2551" w:type="dxa"/>
            <w:vAlign w:val="center"/>
          </w:tcPr>
          <w:p>
            <w:pPr>
              <w:pStyle w:val="26"/>
            </w:pPr>
            <w:r>
              <w:t>媒体是否进行报道</w:t>
            </w:r>
          </w:p>
        </w:tc>
        <w:tc>
          <w:tcPr>
            <w:tcW w:w="2268" w:type="dxa"/>
            <w:vAlign w:val="center"/>
          </w:tcPr>
          <w:p>
            <w:pPr>
              <w:pStyle w:val="26"/>
            </w:pPr>
            <w:r>
              <w:t>历史经验水平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生态效益指标</w:t>
            </w:r>
          </w:p>
        </w:tc>
        <w:tc>
          <w:tcPr>
            <w:tcW w:w="2835" w:type="dxa"/>
            <w:vAlign w:val="center"/>
          </w:tcPr>
          <w:p>
            <w:pPr>
              <w:pStyle w:val="26"/>
            </w:pPr>
            <w:r>
              <w:t xml:space="preserve">不涉及 </w:t>
            </w:r>
          </w:p>
        </w:tc>
        <w:tc>
          <w:tcPr>
            <w:tcW w:w="2835" w:type="dxa"/>
            <w:vAlign w:val="center"/>
          </w:tcPr>
          <w:p>
            <w:pPr>
              <w:pStyle w:val="26"/>
            </w:pPr>
            <w:r>
              <w:t>不涉及</w:t>
            </w:r>
          </w:p>
        </w:tc>
        <w:tc>
          <w:tcPr>
            <w:tcW w:w="2551" w:type="dxa"/>
            <w:vAlign w:val="center"/>
          </w:tcPr>
          <w:p>
            <w:pPr>
              <w:pStyle w:val="26"/>
            </w:pPr>
            <w:r>
              <w:t>不涉及</w:t>
            </w:r>
          </w:p>
        </w:tc>
        <w:tc>
          <w:tcPr>
            <w:tcW w:w="2268" w:type="dxa"/>
            <w:vAlign w:val="center"/>
          </w:tcPr>
          <w:p>
            <w:pPr>
              <w:pStyle w:val="2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可持续影响指标</w:t>
            </w:r>
          </w:p>
        </w:tc>
        <w:tc>
          <w:tcPr>
            <w:tcW w:w="2835" w:type="dxa"/>
            <w:vAlign w:val="center"/>
          </w:tcPr>
          <w:p>
            <w:pPr>
              <w:pStyle w:val="26"/>
            </w:pPr>
            <w:r>
              <w:t xml:space="preserve">不涉及 </w:t>
            </w:r>
          </w:p>
        </w:tc>
        <w:tc>
          <w:tcPr>
            <w:tcW w:w="2835" w:type="dxa"/>
            <w:vAlign w:val="center"/>
          </w:tcPr>
          <w:p>
            <w:pPr>
              <w:pStyle w:val="26"/>
            </w:pPr>
            <w:r>
              <w:t xml:space="preserve">不涉及 </w:t>
            </w:r>
          </w:p>
        </w:tc>
        <w:tc>
          <w:tcPr>
            <w:tcW w:w="2551" w:type="dxa"/>
            <w:vAlign w:val="center"/>
          </w:tcPr>
          <w:p>
            <w:pPr>
              <w:pStyle w:val="26"/>
            </w:pPr>
            <w:r>
              <w:t xml:space="preserve">不涉及 </w:t>
            </w:r>
          </w:p>
        </w:tc>
        <w:tc>
          <w:tcPr>
            <w:tcW w:w="2268" w:type="dxa"/>
            <w:vAlign w:val="center"/>
          </w:tcPr>
          <w:p>
            <w:pPr>
              <w:pStyle w:val="26"/>
            </w:pPr>
            <w:r>
              <w:t xml:space="preserve">不涉及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企业满意度</w:t>
            </w:r>
          </w:p>
        </w:tc>
        <w:tc>
          <w:tcPr>
            <w:tcW w:w="2835" w:type="dxa"/>
            <w:vAlign w:val="center"/>
          </w:tcPr>
          <w:p>
            <w:pPr>
              <w:pStyle w:val="26"/>
            </w:pPr>
            <w:r>
              <w:t>参展企业满意度</w:t>
            </w:r>
          </w:p>
        </w:tc>
        <w:tc>
          <w:tcPr>
            <w:tcW w:w="2551" w:type="dxa"/>
            <w:vAlign w:val="center"/>
          </w:tcPr>
          <w:p>
            <w:pPr>
              <w:pStyle w:val="26"/>
            </w:pPr>
            <w:r>
              <w:t>≥90</w:t>
            </w:r>
          </w:p>
        </w:tc>
        <w:tc>
          <w:tcPr>
            <w:tcW w:w="2268" w:type="dxa"/>
            <w:vAlign w:val="center"/>
          </w:tcPr>
          <w:p>
            <w:pPr>
              <w:pStyle w:val="26"/>
            </w:pPr>
            <w:r>
              <w:t>历史经验水平</w:t>
            </w:r>
          </w:p>
        </w:tc>
      </w:tr>
    </w:tbl>
    <w:p>
      <w:pPr>
        <w:pStyle w:val="24"/>
      </w:pPr>
    </w:p>
    <w:p>
      <w:pPr>
        <w:pStyle w:val="24"/>
        <w:ind w:firstLine="560"/>
      </w:pPr>
      <w:r>
        <w:rPr>
          <w:rFonts w:ascii="方正仿宋_GBK" w:hAnsi="方正仿宋_GBK" w:eastAsia="方正仿宋_GBK" w:cs="方正仿宋_GBK"/>
          <w:b/>
          <w:color w:val="000000"/>
          <w:sz w:val="28"/>
        </w:rPr>
        <w:t>6、组建国家钒钛产业联盟会费绩效目标表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5"/>
            </w:pPr>
            <w:r>
              <w:t>绩效目标</w:t>
            </w:r>
          </w:p>
        </w:tc>
        <w:tc>
          <w:tcPr>
            <w:tcW w:w="12756" w:type="dxa"/>
            <w:tcBorders>
              <w:bottom w:val="single" w:color="FFFFFF" w:sz="6" w:space="0"/>
            </w:tcBorders>
            <w:vAlign w:val="center"/>
          </w:tcPr>
          <w:p>
            <w:pPr>
              <w:pStyle w:val="26"/>
            </w:pPr>
            <w:r>
              <w:t>1.围绕科技创新、科技创业，努力打造集技术研发、成果转化、产业转化、产品应用于一体的创新创业平台，发挥钒钛资源优势，促进钒钛产业高质量发展</w:t>
            </w:r>
          </w:p>
        </w:tc>
      </w:tr>
    </w:tbl>
    <w:p>
      <w:pPr>
        <w:pStyle w:val="24"/>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25"/>
            </w:pPr>
            <w:r>
              <w:t>一级指标</w:t>
            </w:r>
          </w:p>
        </w:tc>
        <w:tc>
          <w:tcPr>
            <w:tcW w:w="2268" w:type="dxa"/>
            <w:vAlign w:val="center"/>
          </w:tcPr>
          <w:p>
            <w:pPr>
              <w:pStyle w:val="25"/>
            </w:pPr>
            <w:r>
              <w:t>二级指标</w:t>
            </w:r>
          </w:p>
        </w:tc>
        <w:tc>
          <w:tcPr>
            <w:tcW w:w="2835" w:type="dxa"/>
            <w:vAlign w:val="center"/>
          </w:tcPr>
          <w:p>
            <w:pPr>
              <w:pStyle w:val="25"/>
            </w:pPr>
            <w:r>
              <w:t>三级指标</w:t>
            </w:r>
          </w:p>
        </w:tc>
        <w:tc>
          <w:tcPr>
            <w:tcW w:w="2835" w:type="dxa"/>
            <w:vAlign w:val="center"/>
          </w:tcPr>
          <w:p>
            <w:pPr>
              <w:pStyle w:val="25"/>
            </w:pPr>
            <w:r>
              <w:t>绩效指标描述</w:t>
            </w:r>
          </w:p>
        </w:tc>
        <w:tc>
          <w:tcPr>
            <w:tcW w:w="2551" w:type="dxa"/>
            <w:vAlign w:val="center"/>
          </w:tcPr>
          <w:p>
            <w:pPr>
              <w:pStyle w:val="25"/>
            </w:pPr>
            <w:r>
              <w:t>指标值</w:t>
            </w:r>
          </w:p>
        </w:tc>
        <w:tc>
          <w:tcPr>
            <w:tcW w:w="2268" w:type="dxa"/>
            <w:vAlign w:val="center"/>
          </w:tcPr>
          <w:p>
            <w:pPr>
              <w:pStyle w:val="2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产出指标</w:t>
            </w:r>
          </w:p>
        </w:tc>
        <w:tc>
          <w:tcPr>
            <w:tcW w:w="2268" w:type="dxa"/>
            <w:vAlign w:val="center"/>
          </w:tcPr>
          <w:p>
            <w:pPr>
              <w:pStyle w:val="26"/>
            </w:pPr>
            <w:r>
              <w:t>数量指标</w:t>
            </w:r>
          </w:p>
        </w:tc>
        <w:tc>
          <w:tcPr>
            <w:tcW w:w="2835" w:type="dxa"/>
            <w:vAlign w:val="center"/>
          </w:tcPr>
          <w:p>
            <w:pPr>
              <w:pStyle w:val="26"/>
            </w:pPr>
            <w:r>
              <w:t>完成调研考察数量</w:t>
            </w:r>
          </w:p>
        </w:tc>
        <w:tc>
          <w:tcPr>
            <w:tcW w:w="2835" w:type="dxa"/>
            <w:vAlign w:val="center"/>
          </w:tcPr>
          <w:p>
            <w:pPr>
              <w:pStyle w:val="26"/>
            </w:pPr>
            <w:r>
              <w:t>完成调研考察数量</w:t>
            </w:r>
          </w:p>
        </w:tc>
        <w:tc>
          <w:tcPr>
            <w:tcW w:w="2551" w:type="dxa"/>
            <w:vAlign w:val="center"/>
          </w:tcPr>
          <w:p>
            <w:pPr>
              <w:pStyle w:val="26"/>
            </w:pPr>
            <w:r>
              <w:t>≥1</w:t>
            </w:r>
          </w:p>
        </w:tc>
        <w:tc>
          <w:tcPr>
            <w:tcW w:w="2268" w:type="dxa"/>
            <w:vAlign w:val="center"/>
          </w:tcPr>
          <w:p>
            <w:pPr>
              <w:pStyle w:val="26"/>
            </w:pPr>
            <w:r>
              <w:t>关于与攀枝花市政府共同发起组建国家钒钛产业联盟商洽对接情况的报告（含市领导批示）【2021】C2300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质量指标</w:t>
            </w:r>
          </w:p>
        </w:tc>
        <w:tc>
          <w:tcPr>
            <w:tcW w:w="2835" w:type="dxa"/>
            <w:vAlign w:val="center"/>
          </w:tcPr>
          <w:p>
            <w:pPr>
              <w:pStyle w:val="26"/>
            </w:pPr>
            <w:r>
              <w:t>研究考察评审合格率</w:t>
            </w:r>
          </w:p>
        </w:tc>
        <w:tc>
          <w:tcPr>
            <w:tcW w:w="2835" w:type="dxa"/>
            <w:vAlign w:val="center"/>
          </w:tcPr>
          <w:p>
            <w:pPr>
              <w:pStyle w:val="26"/>
            </w:pPr>
            <w:r>
              <w:t>研究考察评审合格率=研究合格数/所有研究数*100%</w:t>
            </w:r>
          </w:p>
        </w:tc>
        <w:tc>
          <w:tcPr>
            <w:tcW w:w="2551" w:type="dxa"/>
            <w:vAlign w:val="center"/>
          </w:tcPr>
          <w:p>
            <w:pPr>
              <w:pStyle w:val="26"/>
            </w:pPr>
            <w:r>
              <w:t>≥70</w:t>
            </w:r>
          </w:p>
        </w:tc>
        <w:tc>
          <w:tcPr>
            <w:tcW w:w="2268" w:type="dxa"/>
            <w:vAlign w:val="center"/>
          </w:tcPr>
          <w:p>
            <w:pPr>
              <w:pStyle w:val="26"/>
            </w:pPr>
            <w:r>
              <w:t>关于与攀枝花市政府共同发起组建国家钒钛产业联盟商洽对接情况的报告（含市领导批示）【2021】C2300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时效指标</w:t>
            </w:r>
          </w:p>
        </w:tc>
        <w:tc>
          <w:tcPr>
            <w:tcW w:w="2835" w:type="dxa"/>
            <w:vAlign w:val="center"/>
          </w:tcPr>
          <w:p>
            <w:pPr>
              <w:pStyle w:val="26"/>
            </w:pPr>
            <w:r>
              <w:t>科研完成及时性</w:t>
            </w:r>
          </w:p>
        </w:tc>
        <w:tc>
          <w:tcPr>
            <w:tcW w:w="2835" w:type="dxa"/>
            <w:vAlign w:val="center"/>
          </w:tcPr>
          <w:p>
            <w:pPr>
              <w:pStyle w:val="26"/>
            </w:pPr>
            <w:r>
              <w:t>按时完成科研任务，不延期</w:t>
            </w:r>
          </w:p>
        </w:tc>
        <w:tc>
          <w:tcPr>
            <w:tcW w:w="2551" w:type="dxa"/>
            <w:vAlign w:val="center"/>
          </w:tcPr>
          <w:p>
            <w:pPr>
              <w:pStyle w:val="26"/>
            </w:pPr>
            <w:r>
              <w:t>≥80</w:t>
            </w:r>
          </w:p>
        </w:tc>
        <w:tc>
          <w:tcPr>
            <w:tcW w:w="2268" w:type="dxa"/>
            <w:vAlign w:val="center"/>
          </w:tcPr>
          <w:p>
            <w:pPr>
              <w:pStyle w:val="26"/>
            </w:pPr>
            <w:r>
              <w:t>关于与攀枝花市政府共同发起组建国家钒钛产业联盟商洽对接情况的报告（含市领导批示）【2021】C2300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成本指标</w:t>
            </w:r>
          </w:p>
        </w:tc>
        <w:tc>
          <w:tcPr>
            <w:tcW w:w="2835" w:type="dxa"/>
            <w:vAlign w:val="center"/>
          </w:tcPr>
          <w:p>
            <w:pPr>
              <w:pStyle w:val="26"/>
            </w:pPr>
            <w:r>
              <w:t>调研报告费用成本</w:t>
            </w:r>
          </w:p>
        </w:tc>
        <w:tc>
          <w:tcPr>
            <w:tcW w:w="2835" w:type="dxa"/>
            <w:vAlign w:val="center"/>
          </w:tcPr>
          <w:p>
            <w:pPr>
              <w:pStyle w:val="26"/>
            </w:pPr>
            <w:r>
              <w:t>完成调研报告期间的费用等支出</w:t>
            </w:r>
          </w:p>
        </w:tc>
        <w:tc>
          <w:tcPr>
            <w:tcW w:w="2551" w:type="dxa"/>
            <w:vAlign w:val="center"/>
          </w:tcPr>
          <w:p>
            <w:pPr>
              <w:pStyle w:val="26"/>
            </w:pPr>
            <w:r>
              <w:t>≤40</w:t>
            </w:r>
          </w:p>
        </w:tc>
        <w:tc>
          <w:tcPr>
            <w:tcW w:w="2268" w:type="dxa"/>
            <w:vAlign w:val="center"/>
          </w:tcPr>
          <w:p>
            <w:pPr>
              <w:pStyle w:val="26"/>
            </w:pPr>
            <w:r>
              <w:t xml:space="preserve">预算批复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7"/>
            </w:pPr>
            <w:r>
              <w:t>效益指标</w:t>
            </w:r>
          </w:p>
        </w:tc>
        <w:tc>
          <w:tcPr>
            <w:tcW w:w="2268" w:type="dxa"/>
            <w:vAlign w:val="center"/>
          </w:tcPr>
          <w:p>
            <w:pPr>
              <w:pStyle w:val="26"/>
            </w:pPr>
            <w:r>
              <w:t>社会效益指标</w:t>
            </w:r>
          </w:p>
        </w:tc>
        <w:tc>
          <w:tcPr>
            <w:tcW w:w="2835" w:type="dxa"/>
            <w:vAlign w:val="center"/>
          </w:tcPr>
          <w:p>
            <w:pPr>
              <w:pStyle w:val="26"/>
            </w:pPr>
            <w:r>
              <w:t>研究成果数量</w:t>
            </w:r>
          </w:p>
        </w:tc>
        <w:tc>
          <w:tcPr>
            <w:tcW w:w="2835" w:type="dxa"/>
            <w:vAlign w:val="center"/>
          </w:tcPr>
          <w:p>
            <w:pPr>
              <w:pStyle w:val="26"/>
            </w:pPr>
            <w:r>
              <w:t>研究成果情况</w:t>
            </w:r>
          </w:p>
        </w:tc>
        <w:tc>
          <w:tcPr>
            <w:tcW w:w="2551" w:type="dxa"/>
            <w:vAlign w:val="center"/>
          </w:tcPr>
          <w:p>
            <w:pPr>
              <w:pStyle w:val="26"/>
            </w:pPr>
            <w:r>
              <w:t>≥1</w:t>
            </w:r>
          </w:p>
        </w:tc>
        <w:tc>
          <w:tcPr>
            <w:tcW w:w="2268" w:type="dxa"/>
            <w:vAlign w:val="center"/>
          </w:tcPr>
          <w:p>
            <w:pPr>
              <w:pStyle w:val="26"/>
            </w:pPr>
            <w:r>
              <w:t>关于与攀枝花市政府共同发起组建国家钒钛产业联盟商洽对接情况的报告（含市领导批示）【2021】C2300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生态效益指标</w:t>
            </w:r>
          </w:p>
        </w:tc>
        <w:tc>
          <w:tcPr>
            <w:tcW w:w="2835" w:type="dxa"/>
            <w:vAlign w:val="center"/>
          </w:tcPr>
          <w:p>
            <w:pPr>
              <w:pStyle w:val="26"/>
            </w:pPr>
            <w:r>
              <w:t>促进生态文明建设，推动绿色发展</w:t>
            </w:r>
          </w:p>
        </w:tc>
        <w:tc>
          <w:tcPr>
            <w:tcW w:w="2835" w:type="dxa"/>
            <w:vAlign w:val="center"/>
          </w:tcPr>
          <w:p>
            <w:pPr>
              <w:pStyle w:val="26"/>
            </w:pPr>
            <w:r>
              <w:t>促进生态文明建设，推动绿色发展</w:t>
            </w:r>
          </w:p>
        </w:tc>
        <w:tc>
          <w:tcPr>
            <w:tcW w:w="2551" w:type="dxa"/>
            <w:vAlign w:val="center"/>
          </w:tcPr>
          <w:p>
            <w:pPr>
              <w:pStyle w:val="26"/>
            </w:pPr>
            <w:r>
              <w:t>促进生态文明建设，推动绿色发展</w:t>
            </w:r>
          </w:p>
        </w:tc>
        <w:tc>
          <w:tcPr>
            <w:tcW w:w="2268" w:type="dxa"/>
            <w:vAlign w:val="center"/>
          </w:tcPr>
          <w:p>
            <w:pPr>
              <w:pStyle w:val="26"/>
            </w:pPr>
            <w:r>
              <w:t>关于与攀枝花市政府共同发起组建国家钒钛产业联盟商洽对接情况的报告（含市领导批示）【2021】C2300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可持续影响指标</w:t>
            </w:r>
          </w:p>
        </w:tc>
        <w:tc>
          <w:tcPr>
            <w:tcW w:w="2835" w:type="dxa"/>
            <w:vAlign w:val="center"/>
          </w:tcPr>
          <w:p>
            <w:pPr>
              <w:pStyle w:val="26"/>
            </w:pPr>
            <w:r>
              <w:t>研究考察成果利用率或转化率</w:t>
            </w:r>
          </w:p>
        </w:tc>
        <w:tc>
          <w:tcPr>
            <w:tcW w:w="2835" w:type="dxa"/>
            <w:vAlign w:val="center"/>
          </w:tcPr>
          <w:p>
            <w:pPr>
              <w:pStyle w:val="26"/>
            </w:pPr>
            <w:r>
              <w:t>研究考察成果对实际工作的促进作用</w:t>
            </w:r>
          </w:p>
        </w:tc>
        <w:tc>
          <w:tcPr>
            <w:tcW w:w="2551" w:type="dxa"/>
            <w:vAlign w:val="center"/>
          </w:tcPr>
          <w:p>
            <w:pPr>
              <w:pStyle w:val="26"/>
            </w:pPr>
            <w:r>
              <w:t>研究考察成果对实际工作的促进作用</w:t>
            </w:r>
          </w:p>
        </w:tc>
        <w:tc>
          <w:tcPr>
            <w:tcW w:w="2268" w:type="dxa"/>
            <w:vAlign w:val="center"/>
          </w:tcPr>
          <w:p>
            <w:pPr>
              <w:pStyle w:val="26"/>
            </w:pPr>
            <w:r>
              <w:t>关于与攀枝花市政府共同发起组建国家钒钛产业联盟商洽对接情况的报告（含市领导批示）【2021】C2300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pPr>
              <w:pStyle w:val="24"/>
            </w:pPr>
          </w:p>
        </w:tc>
        <w:tc>
          <w:tcPr>
            <w:tcW w:w="2268" w:type="dxa"/>
            <w:vAlign w:val="center"/>
          </w:tcPr>
          <w:p>
            <w:pPr>
              <w:pStyle w:val="26"/>
            </w:pPr>
            <w:r>
              <w:t>经济效益指标</w:t>
            </w:r>
          </w:p>
        </w:tc>
        <w:tc>
          <w:tcPr>
            <w:tcW w:w="2835" w:type="dxa"/>
            <w:vAlign w:val="center"/>
          </w:tcPr>
          <w:p>
            <w:pPr>
              <w:pStyle w:val="26"/>
            </w:pPr>
            <w:r>
              <w:t>不涉及</w:t>
            </w:r>
          </w:p>
        </w:tc>
        <w:tc>
          <w:tcPr>
            <w:tcW w:w="2835" w:type="dxa"/>
            <w:vAlign w:val="center"/>
          </w:tcPr>
          <w:p>
            <w:pPr>
              <w:pStyle w:val="26"/>
            </w:pPr>
            <w:r>
              <w:t>不涉及</w:t>
            </w:r>
          </w:p>
        </w:tc>
        <w:tc>
          <w:tcPr>
            <w:tcW w:w="2551" w:type="dxa"/>
            <w:vAlign w:val="center"/>
          </w:tcPr>
          <w:p>
            <w:pPr>
              <w:pStyle w:val="26"/>
            </w:pPr>
            <w:r>
              <w:t>不涉及</w:t>
            </w:r>
          </w:p>
        </w:tc>
        <w:tc>
          <w:tcPr>
            <w:tcW w:w="2268" w:type="dxa"/>
            <w:vAlign w:val="center"/>
          </w:tcPr>
          <w:p>
            <w:pPr>
              <w:pStyle w:val="26"/>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7"/>
            </w:pPr>
            <w:r>
              <w:t>满意度指标</w:t>
            </w:r>
          </w:p>
        </w:tc>
        <w:tc>
          <w:tcPr>
            <w:tcW w:w="2268" w:type="dxa"/>
            <w:vAlign w:val="center"/>
          </w:tcPr>
          <w:p>
            <w:pPr>
              <w:pStyle w:val="26"/>
            </w:pPr>
            <w:r>
              <w:t>服务对象满意度指标</w:t>
            </w:r>
          </w:p>
        </w:tc>
        <w:tc>
          <w:tcPr>
            <w:tcW w:w="2835" w:type="dxa"/>
            <w:vAlign w:val="center"/>
          </w:tcPr>
          <w:p>
            <w:pPr>
              <w:pStyle w:val="26"/>
            </w:pPr>
            <w:r>
              <w:t>受益人员满意度</w:t>
            </w:r>
          </w:p>
        </w:tc>
        <w:tc>
          <w:tcPr>
            <w:tcW w:w="2835" w:type="dxa"/>
            <w:vAlign w:val="center"/>
          </w:tcPr>
          <w:p>
            <w:pPr>
              <w:pStyle w:val="26"/>
            </w:pPr>
            <w:r>
              <w:t>受益人员满意情况</w:t>
            </w:r>
          </w:p>
        </w:tc>
        <w:tc>
          <w:tcPr>
            <w:tcW w:w="2551" w:type="dxa"/>
            <w:vAlign w:val="center"/>
          </w:tcPr>
          <w:p>
            <w:pPr>
              <w:pStyle w:val="26"/>
            </w:pPr>
            <w:r>
              <w:t>≥90</w:t>
            </w:r>
          </w:p>
        </w:tc>
        <w:tc>
          <w:tcPr>
            <w:tcW w:w="2268" w:type="dxa"/>
            <w:vAlign w:val="center"/>
          </w:tcPr>
          <w:p>
            <w:pPr>
              <w:pStyle w:val="26"/>
            </w:pPr>
            <w:r>
              <w:t>关于与攀枝花市政府共同发起组建国家钒钛产业联盟商洽对接情况的报告（含市领导批示）【2021】C2300</w:t>
            </w:r>
          </w:p>
        </w:tc>
      </w:tr>
    </w:tbl>
    <w:p>
      <w:pPr>
        <w:pStyle w:val="24"/>
        <w:sectPr>
          <w:pgSz w:w="16840" w:h="11900" w:orient="landscape"/>
          <w:pgMar w:top="1361" w:right="1020" w:bottom="1361" w:left="1020" w:header="720" w:footer="720" w:gutter="0"/>
          <w:cols w:space="720" w:num="1"/>
        </w:sectPr>
      </w:pPr>
    </w:p>
    <w:p>
      <w:pPr>
        <w:spacing w:before="10" w:after="10"/>
        <w:ind w:firstLine="640"/>
        <w:outlineLvl w:val="2"/>
        <w:rPr>
          <w:sz w:val="32"/>
          <w:szCs w:val="32"/>
        </w:rPr>
      </w:pPr>
      <w:bookmarkStart w:id="14" w:name="_Toc_3_3_0000000015"/>
      <w:r>
        <w:rPr>
          <w:rFonts w:ascii="黑体" w:hAnsi="黑体" w:eastAsia="黑体" w:cs="黑体"/>
          <w:color w:val="000000"/>
          <w:sz w:val="32"/>
          <w:szCs w:val="32"/>
        </w:rPr>
        <w:t>六、政府采购预算情况</w:t>
      </w:r>
      <w:bookmarkEnd w:id="14"/>
    </w:p>
    <w:p>
      <w:pPr>
        <w:spacing w:line="500" w:lineRule="exact"/>
        <w:ind w:firstLine="560"/>
      </w:pPr>
      <w:r>
        <w:rPr>
          <w:rFonts w:eastAsia="方正仿宋_GBK"/>
          <w:color w:val="000000"/>
          <w:sz w:val="28"/>
        </w:rPr>
        <w:t>2022年，承德市工业和信息化局安排政府采购预算103.00万元。具体内容见下表。</w:t>
      </w:r>
    </w:p>
    <w:p>
      <w:pPr>
        <w:jc w:val="center"/>
        <w:rPr>
          <w:sz w:val="28"/>
          <w:szCs w:val="28"/>
        </w:rPr>
      </w:pPr>
      <w:r>
        <w:rPr>
          <w:rFonts w:ascii="方正小标宋_GBK" w:hAnsi="方正小标宋_GBK" w:eastAsia="方正小标宋_GBK" w:cs="方正小标宋_GBK"/>
          <w:color w:val="000000"/>
          <w:sz w:val="28"/>
          <w:szCs w:val="28"/>
        </w:rPr>
        <w:t>部门政府采购预算</w:t>
      </w:r>
    </w:p>
    <w:tbl>
      <w:tblPr>
        <w:tblStyle w:val="4"/>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89"/>
        <w:gridCol w:w="901"/>
        <w:gridCol w:w="1057"/>
        <w:gridCol w:w="1057"/>
        <w:gridCol w:w="661"/>
        <w:gridCol w:w="793"/>
        <w:gridCol w:w="846"/>
        <w:gridCol w:w="898"/>
        <w:gridCol w:w="898"/>
        <w:gridCol w:w="898"/>
        <w:gridCol w:w="898"/>
        <w:gridCol w:w="898"/>
        <w:gridCol w:w="898"/>
        <w:gridCol w:w="899"/>
        <w:gridCol w:w="920"/>
        <w:gridCol w:w="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91" w:type="pct"/>
            <w:gridSpan w:val="7"/>
            <w:tcBorders>
              <w:top w:val="single" w:color="FFFFFF" w:sz="6" w:space="0"/>
              <w:left w:val="single" w:color="FFFFFF" w:sz="6" w:space="0"/>
              <w:right w:val="single" w:color="FFFFFF" w:sz="6" w:space="0"/>
            </w:tcBorders>
            <w:vAlign w:val="center"/>
          </w:tcPr>
          <w:p>
            <w:pPr>
              <w:pStyle w:val="9"/>
            </w:pPr>
            <w:r>
              <w:t>593承德市工业和信息化局</w:t>
            </w:r>
          </w:p>
        </w:tc>
        <w:tc>
          <w:tcPr>
            <w:tcW w:w="2708" w:type="pct"/>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31" w:type="pct"/>
            <w:gridSpan w:val="2"/>
            <w:vAlign w:val="center"/>
          </w:tcPr>
          <w:p>
            <w:pPr>
              <w:pStyle w:val="10"/>
            </w:pPr>
            <w:r>
              <w:t>政府采购项目来源</w:t>
            </w:r>
          </w:p>
        </w:tc>
        <w:tc>
          <w:tcPr>
            <w:tcW w:w="353" w:type="pct"/>
            <w:vMerge w:val="restart"/>
            <w:vAlign w:val="center"/>
          </w:tcPr>
          <w:p>
            <w:pPr>
              <w:pStyle w:val="10"/>
            </w:pPr>
            <w:r>
              <w:t>采购物品名称</w:t>
            </w:r>
          </w:p>
        </w:tc>
        <w:tc>
          <w:tcPr>
            <w:tcW w:w="353" w:type="pct"/>
            <w:vMerge w:val="restart"/>
            <w:vAlign w:val="center"/>
          </w:tcPr>
          <w:p>
            <w:pPr>
              <w:pStyle w:val="10"/>
            </w:pPr>
            <w:r>
              <w:t>政府采购目录序号</w:t>
            </w:r>
          </w:p>
        </w:tc>
        <w:tc>
          <w:tcPr>
            <w:tcW w:w="221" w:type="pct"/>
            <w:vMerge w:val="restart"/>
            <w:vAlign w:val="center"/>
          </w:tcPr>
          <w:p>
            <w:pPr>
              <w:pStyle w:val="10"/>
            </w:pPr>
            <w:r>
              <w:t>计量  单位</w:t>
            </w:r>
          </w:p>
        </w:tc>
        <w:tc>
          <w:tcPr>
            <w:tcW w:w="265" w:type="pct"/>
            <w:vMerge w:val="restart"/>
            <w:vAlign w:val="center"/>
          </w:tcPr>
          <w:p>
            <w:pPr>
              <w:pStyle w:val="10"/>
            </w:pPr>
            <w:r>
              <w:t>数量</w:t>
            </w:r>
          </w:p>
        </w:tc>
        <w:tc>
          <w:tcPr>
            <w:tcW w:w="265" w:type="pct"/>
            <w:vMerge w:val="restart"/>
            <w:vAlign w:val="center"/>
          </w:tcPr>
          <w:p>
            <w:pPr>
              <w:pStyle w:val="10"/>
            </w:pPr>
            <w:r>
              <w:t>单价</w:t>
            </w:r>
          </w:p>
        </w:tc>
        <w:tc>
          <w:tcPr>
            <w:tcW w:w="2407" w:type="pct"/>
            <w:gridSpan w:val="8"/>
            <w:vAlign w:val="center"/>
          </w:tcPr>
          <w:p>
            <w:pPr>
              <w:pStyle w:val="10"/>
            </w:pPr>
            <w:r>
              <w:t>政府采购金额（当年部门预算安排资金）</w:t>
            </w:r>
          </w:p>
        </w:tc>
        <w:tc>
          <w:tcPr>
            <w:tcW w:w="301" w:type="pct"/>
            <w:vMerge w:val="restart"/>
            <w:vAlign w:val="center"/>
          </w:tcPr>
          <w:p>
            <w:pPr>
              <w:pStyle w:val="1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530" w:type="pct"/>
            <w:vAlign w:val="center"/>
          </w:tcPr>
          <w:p>
            <w:pPr>
              <w:pStyle w:val="10"/>
            </w:pPr>
            <w:r>
              <w:t>项目名称</w:t>
            </w:r>
          </w:p>
        </w:tc>
        <w:tc>
          <w:tcPr>
            <w:tcW w:w="301" w:type="pct"/>
            <w:vAlign w:val="center"/>
          </w:tcPr>
          <w:p>
            <w:pPr>
              <w:pStyle w:val="10"/>
            </w:pPr>
            <w:r>
              <w:t>预算    资金</w:t>
            </w:r>
          </w:p>
        </w:tc>
        <w:tc>
          <w:tcPr>
            <w:tcW w:w="353" w:type="pct"/>
            <w:vMerge w:val="continue"/>
          </w:tcPr>
          <w:p/>
        </w:tc>
        <w:tc>
          <w:tcPr>
            <w:tcW w:w="353" w:type="pct"/>
            <w:vMerge w:val="continue"/>
          </w:tcPr>
          <w:p/>
        </w:tc>
        <w:tc>
          <w:tcPr>
            <w:tcW w:w="221" w:type="pct"/>
            <w:vMerge w:val="continue"/>
          </w:tcPr>
          <w:p/>
        </w:tc>
        <w:tc>
          <w:tcPr>
            <w:tcW w:w="265" w:type="pct"/>
            <w:vMerge w:val="continue"/>
          </w:tcPr>
          <w:p/>
        </w:tc>
        <w:tc>
          <w:tcPr>
            <w:tcW w:w="265" w:type="pct"/>
            <w:vMerge w:val="continue"/>
          </w:tcPr>
          <w:p/>
        </w:tc>
        <w:tc>
          <w:tcPr>
            <w:tcW w:w="300" w:type="pct"/>
            <w:vAlign w:val="center"/>
          </w:tcPr>
          <w:p>
            <w:pPr>
              <w:pStyle w:val="10"/>
            </w:pPr>
            <w:r>
              <w:t>合计</w:t>
            </w:r>
          </w:p>
        </w:tc>
        <w:tc>
          <w:tcPr>
            <w:tcW w:w="300" w:type="pct"/>
            <w:vAlign w:val="center"/>
          </w:tcPr>
          <w:p>
            <w:pPr>
              <w:pStyle w:val="10"/>
            </w:pPr>
            <w:r>
              <w:t>一般公共预算拨款</w:t>
            </w:r>
          </w:p>
        </w:tc>
        <w:tc>
          <w:tcPr>
            <w:tcW w:w="300" w:type="pct"/>
            <w:vAlign w:val="center"/>
          </w:tcPr>
          <w:p>
            <w:pPr>
              <w:pStyle w:val="10"/>
            </w:pPr>
            <w:r>
              <w:t>基金预算拨款</w:t>
            </w:r>
          </w:p>
        </w:tc>
        <w:tc>
          <w:tcPr>
            <w:tcW w:w="300" w:type="pct"/>
            <w:vAlign w:val="center"/>
          </w:tcPr>
          <w:p>
            <w:pPr>
              <w:pStyle w:val="10"/>
            </w:pPr>
            <w:r>
              <w:t>国有资本经营预算拨款</w:t>
            </w:r>
          </w:p>
        </w:tc>
        <w:tc>
          <w:tcPr>
            <w:tcW w:w="300" w:type="pct"/>
            <w:vAlign w:val="center"/>
          </w:tcPr>
          <w:p>
            <w:pPr>
              <w:pStyle w:val="10"/>
            </w:pPr>
            <w:r>
              <w:t>财政专户核拨</w:t>
            </w:r>
          </w:p>
        </w:tc>
        <w:tc>
          <w:tcPr>
            <w:tcW w:w="300" w:type="pct"/>
            <w:vAlign w:val="center"/>
          </w:tcPr>
          <w:p>
            <w:pPr>
              <w:pStyle w:val="10"/>
            </w:pPr>
            <w:r>
              <w:t>单位    资金</w:t>
            </w:r>
          </w:p>
        </w:tc>
        <w:tc>
          <w:tcPr>
            <w:tcW w:w="300" w:type="pct"/>
            <w:vAlign w:val="center"/>
          </w:tcPr>
          <w:p>
            <w:pPr>
              <w:pStyle w:val="10"/>
            </w:pPr>
            <w:r>
              <w:t>财政拨    款结转</w:t>
            </w:r>
          </w:p>
        </w:tc>
        <w:tc>
          <w:tcPr>
            <w:tcW w:w="302" w:type="pct"/>
            <w:vAlign w:val="center"/>
          </w:tcPr>
          <w:p>
            <w:pPr>
              <w:pStyle w:val="10"/>
            </w:pPr>
            <w:r>
              <w:t>非财政    拨款结    转结余</w:t>
            </w:r>
          </w:p>
        </w:tc>
        <w:tc>
          <w:tcPr>
            <w:tcW w:w="301"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30" w:type="pct"/>
            <w:vAlign w:val="center"/>
          </w:tcPr>
          <w:p>
            <w:pPr>
              <w:pStyle w:val="14"/>
            </w:pPr>
            <w:r>
              <w:t>合  计</w:t>
            </w:r>
          </w:p>
        </w:tc>
        <w:tc>
          <w:tcPr>
            <w:tcW w:w="301" w:type="pct"/>
            <w:vAlign w:val="center"/>
          </w:tcPr>
          <w:p>
            <w:pPr>
              <w:pStyle w:val="15"/>
            </w:pPr>
          </w:p>
        </w:tc>
        <w:tc>
          <w:tcPr>
            <w:tcW w:w="353" w:type="pct"/>
            <w:vAlign w:val="center"/>
          </w:tcPr>
          <w:p>
            <w:pPr>
              <w:pStyle w:val="16"/>
            </w:pPr>
          </w:p>
        </w:tc>
        <w:tc>
          <w:tcPr>
            <w:tcW w:w="353" w:type="pct"/>
            <w:vAlign w:val="center"/>
          </w:tcPr>
          <w:p>
            <w:pPr>
              <w:pStyle w:val="16"/>
            </w:pPr>
          </w:p>
        </w:tc>
        <w:tc>
          <w:tcPr>
            <w:tcW w:w="221" w:type="pct"/>
            <w:vAlign w:val="center"/>
          </w:tcPr>
          <w:p>
            <w:pPr>
              <w:pStyle w:val="14"/>
            </w:pPr>
          </w:p>
        </w:tc>
        <w:tc>
          <w:tcPr>
            <w:tcW w:w="265" w:type="pct"/>
            <w:vAlign w:val="center"/>
          </w:tcPr>
          <w:p>
            <w:pPr>
              <w:pStyle w:val="15"/>
            </w:pPr>
          </w:p>
        </w:tc>
        <w:tc>
          <w:tcPr>
            <w:tcW w:w="265" w:type="pct"/>
            <w:vAlign w:val="center"/>
          </w:tcPr>
          <w:p>
            <w:pPr>
              <w:pStyle w:val="15"/>
            </w:pPr>
          </w:p>
        </w:tc>
        <w:tc>
          <w:tcPr>
            <w:tcW w:w="300" w:type="pct"/>
            <w:vAlign w:val="center"/>
          </w:tcPr>
          <w:p>
            <w:pPr>
              <w:pStyle w:val="15"/>
            </w:pPr>
            <w:r>
              <w:t>103.00</w:t>
            </w:r>
          </w:p>
        </w:tc>
        <w:tc>
          <w:tcPr>
            <w:tcW w:w="300" w:type="pct"/>
            <w:vAlign w:val="center"/>
          </w:tcPr>
          <w:p>
            <w:pPr>
              <w:pStyle w:val="15"/>
            </w:pPr>
            <w:r>
              <w:t>103.00</w:t>
            </w:r>
          </w:p>
        </w:tc>
        <w:tc>
          <w:tcPr>
            <w:tcW w:w="300" w:type="pct"/>
            <w:vAlign w:val="center"/>
          </w:tcPr>
          <w:p>
            <w:pPr>
              <w:pStyle w:val="15"/>
            </w:pPr>
          </w:p>
        </w:tc>
        <w:tc>
          <w:tcPr>
            <w:tcW w:w="300" w:type="pct"/>
            <w:vAlign w:val="center"/>
          </w:tcPr>
          <w:p>
            <w:pPr>
              <w:pStyle w:val="15"/>
            </w:pPr>
          </w:p>
        </w:tc>
        <w:tc>
          <w:tcPr>
            <w:tcW w:w="300" w:type="pct"/>
            <w:vAlign w:val="center"/>
          </w:tcPr>
          <w:p>
            <w:pPr>
              <w:pStyle w:val="15"/>
            </w:pPr>
          </w:p>
        </w:tc>
        <w:tc>
          <w:tcPr>
            <w:tcW w:w="300" w:type="pct"/>
            <w:vAlign w:val="center"/>
          </w:tcPr>
          <w:p>
            <w:pPr>
              <w:pStyle w:val="15"/>
            </w:pPr>
          </w:p>
        </w:tc>
        <w:tc>
          <w:tcPr>
            <w:tcW w:w="300" w:type="pct"/>
            <w:vAlign w:val="center"/>
          </w:tcPr>
          <w:p>
            <w:pPr>
              <w:pStyle w:val="15"/>
            </w:pPr>
          </w:p>
        </w:tc>
        <w:tc>
          <w:tcPr>
            <w:tcW w:w="302" w:type="pct"/>
            <w:vAlign w:val="center"/>
          </w:tcPr>
          <w:p>
            <w:pPr>
              <w:pStyle w:val="15"/>
            </w:pPr>
          </w:p>
        </w:tc>
        <w:tc>
          <w:tcPr>
            <w:tcW w:w="301" w:type="pct"/>
            <w:vAlign w:val="center"/>
          </w:tcPr>
          <w:p>
            <w:pPr>
              <w:pStyle w:val="15"/>
            </w:pPr>
            <w:r>
              <w:t>103.00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30" w:type="pct"/>
            <w:vAlign w:val="center"/>
          </w:tcPr>
          <w:p>
            <w:pPr>
              <w:pStyle w:val="14"/>
            </w:pPr>
            <w:r>
              <w:t>承德市工业和信息化局本级小计</w:t>
            </w:r>
          </w:p>
        </w:tc>
        <w:tc>
          <w:tcPr>
            <w:tcW w:w="301" w:type="pct"/>
            <w:vAlign w:val="center"/>
          </w:tcPr>
          <w:p>
            <w:pPr>
              <w:pStyle w:val="15"/>
            </w:pPr>
          </w:p>
        </w:tc>
        <w:tc>
          <w:tcPr>
            <w:tcW w:w="353" w:type="pct"/>
            <w:vAlign w:val="center"/>
          </w:tcPr>
          <w:p>
            <w:pPr>
              <w:pStyle w:val="16"/>
            </w:pPr>
          </w:p>
        </w:tc>
        <w:tc>
          <w:tcPr>
            <w:tcW w:w="353" w:type="pct"/>
            <w:vAlign w:val="center"/>
          </w:tcPr>
          <w:p>
            <w:pPr>
              <w:pStyle w:val="16"/>
            </w:pPr>
          </w:p>
        </w:tc>
        <w:tc>
          <w:tcPr>
            <w:tcW w:w="221" w:type="pct"/>
            <w:vAlign w:val="center"/>
          </w:tcPr>
          <w:p>
            <w:pPr>
              <w:pStyle w:val="14"/>
            </w:pPr>
          </w:p>
        </w:tc>
        <w:tc>
          <w:tcPr>
            <w:tcW w:w="265" w:type="pct"/>
            <w:vAlign w:val="center"/>
          </w:tcPr>
          <w:p>
            <w:pPr>
              <w:pStyle w:val="15"/>
            </w:pPr>
          </w:p>
        </w:tc>
        <w:tc>
          <w:tcPr>
            <w:tcW w:w="265" w:type="pct"/>
            <w:vAlign w:val="center"/>
          </w:tcPr>
          <w:p>
            <w:pPr>
              <w:pStyle w:val="15"/>
            </w:pPr>
          </w:p>
        </w:tc>
        <w:tc>
          <w:tcPr>
            <w:tcW w:w="300" w:type="pct"/>
            <w:vAlign w:val="center"/>
          </w:tcPr>
          <w:p>
            <w:pPr>
              <w:pStyle w:val="15"/>
            </w:pPr>
            <w:r>
              <w:t>103.00</w:t>
            </w:r>
          </w:p>
        </w:tc>
        <w:tc>
          <w:tcPr>
            <w:tcW w:w="300" w:type="pct"/>
            <w:vAlign w:val="center"/>
          </w:tcPr>
          <w:p>
            <w:pPr>
              <w:pStyle w:val="15"/>
            </w:pPr>
            <w:r>
              <w:t>103.00</w:t>
            </w:r>
          </w:p>
        </w:tc>
        <w:tc>
          <w:tcPr>
            <w:tcW w:w="300" w:type="pct"/>
            <w:vAlign w:val="center"/>
          </w:tcPr>
          <w:p>
            <w:pPr>
              <w:pStyle w:val="15"/>
            </w:pPr>
          </w:p>
        </w:tc>
        <w:tc>
          <w:tcPr>
            <w:tcW w:w="300" w:type="pct"/>
            <w:vAlign w:val="center"/>
          </w:tcPr>
          <w:p>
            <w:pPr>
              <w:pStyle w:val="15"/>
            </w:pPr>
          </w:p>
        </w:tc>
        <w:tc>
          <w:tcPr>
            <w:tcW w:w="300" w:type="pct"/>
            <w:vAlign w:val="center"/>
          </w:tcPr>
          <w:p>
            <w:pPr>
              <w:pStyle w:val="15"/>
            </w:pPr>
          </w:p>
        </w:tc>
        <w:tc>
          <w:tcPr>
            <w:tcW w:w="300" w:type="pct"/>
            <w:vAlign w:val="center"/>
          </w:tcPr>
          <w:p>
            <w:pPr>
              <w:pStyle w:val="15"/>
            </w:pPr>
          </w:p>
        </w:tc>
        <w:tc>
          <w:tcPr>
            <w:tcW w:w="300" w:type="pct"/>
            <w:vAlign w:val="center"/>
          </w:tcPr>
          <w:p>
            <w:pPr>
              <w:pStyle w:val="15"/>
            </w:pPr>
          </w:p>
        </w:tc>
        <w:tc>
          <w:tcPr>
            <w:tcW w:w="302" w:type="pct"/>
            <w:vAlign w:val="center"/>
          </w:tcPr>
          <w:p>
            <w:pPr>
              <w:pStyle w:val="15"/>
            </w:pPr>
          </w:p>
        </w:tc>
        <w:tc>
          <w:tcPr>
            <w:tcW w:w="301" w:type="pct"/>
            <w:vAlign w:val="center"/>
          </w:tcPr>
          <w:p>
            <w:pPr>
              <w:pStyle w:val="15"/>
            </w:pPr>
            <w:r>
              <w:t>103.00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30" w:type="pct"/>
            <w:vAlign w:val="center"/>
          </w:tcPr>
          <w:p>
            <w:pPr>
              <w:pStyle w:val="12"/>
            </w:pPr>
            <w:r>
              <w:t>工业和信息化工作经费</w:t>
            </w:r>
          </w:p>
        </w:tc>
        <w:tc>
          <w:tcPr>
            <w:tcW w:w="301" w:type="pct"/>
            <w:vAlign w:val="center"/>
          </w:tcPr>
          <w:p>
            <w:pPr>
              <w:pStyle w:val="11"/>
            </w:pPr>
            <w:r>
              <w:t>80.00</w:t>
            </w:r>
          </w:p>
        </w:tc>
        <w:tc>
          <w:tcPr>
            <w:tcW w:w="353" w:type="pct"/>
            <w:vAlign w:val="center"/>
          </w:tcPr>
          <w:p>
            <w:pPr>
              <w:pStyle w:val="12"/>
            </w:pPr>
            <w:r>
              <w:t>投影仪</w:t>
            </w:r>
          </w:p>
        </w:tc>
        <w:tc>
          <w:tcPr>
            <w:tcW w:w="353" w:type="pct"/>
            <w:vAlign w:val="center"/>
          </w:tcPr>
          <w:p>
            <w:pPr>
              <w:pStyle w:val="12"/>
            </w:pPr>
            <w:r>
              <w:t>A020202</w:t>
            </w:r>
          </w:p>
        </w:tc>
        <w:tc>
          <w:tcPr>
            <w:tcW w:w="221" w:type="pct"/>
            <w:vAlign w:val="center"/>
          </w:tcPr>
          <w:p>
            <w:pPr>
              <w:pStyle w:val="13"/>
            </w:pPr>
            <w:r>
              <w:t>台</w:t>
            </w:r>
          </w:p>
        </w:tc>
        <w:tc>
          <w:tcPr>
            <w:tcW w:w="265" w:type="pct"/>
            <w:vAlign w:val="center"/>
          </w:tcPr>
          <w:p>
            <w:pPr>
              <w:pStyle w:val="11"/>
            </w:pPr>
            <w:r>
              <w:t>1</w:t>
            </w:r>
          </w:p>
        </w:tc>
        <w:tc>
          <w:tcPr>
            <w:tcW w:w="265" w:type="pct"/>
            <w:vAlign w:val="center"/>
          </w:tcPr>
          <w:p>
            <w:pPr>
              <w:pStyle w:val="11"/>
            </w:pPr>
            <w:r>
              <w:t>3.00</w:t>
            </w:r>
          </w:p>
        </w:tc>
        <w:tc>
          <w:tcPr>
            <w:tcW w:w="300" w:type="pct"/>
            <w:vAlign w:val="center"/>
          </w:tcPr>
          <w:p>
            <w:pPr>
              <w:pStyle w:val="11"/>
            </w:pPr>
            <w:r>
              <w:t>3.00</w:t>
            </w:r>
          </w:p>
        </w:tc>
        <w:tc>
          <w:tcPr>
            <w:tcW w:w="300" w:type="pct"/>
            <w:vAlign w:val="center"/>
          </w:tcPr>
          <w:p>
            <w:pPr>
              <w:pStyle w:val="11"/>
            </w:pPr>
            <w:r>
              <w:t>3.00</w:t>
            </w:r>
          </w:p>
        </w:tc>
        <w:tc>
          <w:tcPr>
            <w:tcW w:w="300" w:type="pct"/>
            <w:vAlign w:val="center"/>
          </w:tcPr>
          <w:p>
            <w:pPr>
              <w:pStyle w:val="11"/>
            </w:pPr>
          </w:p>
        </w:tc>
        <w:tc>
          <w:tcPr>
            <w:tcW w:w="300" w:type="pct"/>
            <w:vAlign w:val="center"/>
          </w:tcPr>
          <w:p>
            <w:pPr>
              <w:pStyle w:val="11"/>
            </w:pPr>
          </w:p>
        </w:tc>
        <w:tc>
          <w:tcPr>
            <w:tcW w:w="300" w:type="pct"/>
            <w:vAlign w:val="center"/>
          </w:tcPr>
          <w:p>
            <w:pPr>
              <w:pStyle w:val="11"/>
            </w:pPr>
          </w:p>
        </w:tc>
        <w:tc>
          <w:tcPr>
            <w:tcW w:w="300" w:type="pct"/>
            <w:vAlign w:val="center"/>
          </w:tcPr>
          <w:p>
            <w:pPr>
              <w:pStyle w:val="11"/>
            </w:pPr>
          </w:p>
        </w:tc>
        <w:tc>
          <w:tcPr>
            <w:tcW w:w="300" w:type="pct"/>
            <w:vAlign w:val="center"/>
          </w:tcPr>
          <w:p>
            <w:pPr>
              <w:pStyle w:val="11"/>
            </w:pPr>
          </w:p>
        </w:tc>
        <w:tc>
          <w:tcPr>
            <w:tcW w:w="302" w:type="pct"/>
            <w:vAlign w:val="center"/>
          </w:tcPr>
          <w:p>
            <w:pPr>
              <w:pStyle w:val="11"/>
            </w:pPr>
          </w:p>
        </w:tc>
        <w:tc>
          <w:tcPr>
            <w:tcW w:w="301" w:type="pct"/>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530" w:type="pct"/>
            <w:vAlign w:val="center"/>
          </w:tcPr>
          <w:p>
            <w:pPr>
              <w:pStyle w:val="12"/>
            </w:pPr>
            <w:r>
              <w:t>中国数字经济博览会承德会展</w:t>
            </w:r>
          </w:p>
        </w:tc>
        <w:tc>
          <w:tcPr>
            <w:tcW w:w="301" w:type="pct"/>
            <w:vAlign w:val="center"/>
          </w:tcPr>
          <w:p>
            <w:pPr>
              <w:pStyle w:val="11"/>
            </w:pPr>
            <w:r>
              <w:t>100.00</w:t>
            </w:r>
          </w:p>
        </w:tc>
        <w:tc>
          <w:tcPr>
            <w:tcW w:w="353" w:type="pct"/>
            <w:vAlign w:val="center"/>
          </w:tcPr>
          <w:p>
            <w:pPr>
              <w:pStyle w:val="12"/>
            </w:pPr>
            <w:r>
              <w:t>博览会服务</w:t>
            </w:r>
          </w:p>
        </w:tc>
        <w:tc>
          <w:tcPr>
            <w:tcW w:w="353" w:type="pct"/>
            <w:vAlign w:val="center"/>
          </w:tcPr>
          <w:p>
            <w:pPr>
              <w:pStyle w:val="12"/>
            </w:pPr>
            <w:r>
              <w:t>C060201</w:t>
            </w:r>
          </w:p>
        </w:tc>
        <w:tc>
          <w:tcPr>
            <w:tcW w:w="221" w:type="pct"/>
            <w:vAlign w:val="center"/>
          </w:tcPr>
          <w:p>
            <w:pPr>
              <w:pStyle w:val="13"/>
            </w:pPr>
            <w:r>
              <w:t>次</w:t>
            </w:r>
          </w:p>
        </w:tc>
        <w:tc>
          <w:tcPr>
            <w:tcW w:w="265" w:type="pct"/>
            <w:vAlign w:val="center"/>
          </w:tcPr>
          <w:p>
            <w:pPr>
              <w:pStyle w:val="11"/>
            </w:pPr>
            <w:r>
              <w:t>1</w:t>
            </w:r>
          </w:p>
        </w:tc>
        <w:tc>
          <w:tcPr>
            <w:tcW w:w="265" w:type="pct"/>
            <w:vAlign w:val="center"/>
          </w:tcPr>
          <w:p>
            <w:pPr>
              <w:pStyle w:val="11"/>
            </w:pPr>
            <w:r>
              <w:t>100.00</w:t>
            </w:r>
          </w:p>
        </w:tc>
        <w:tc>
          <w:tcPr>
            <w:tcW w:w="300" w:type="pct"/>
            <w:vAlign w:val="center"/>
          </w:tcPr>
          <w:p>
            <w:pPr>
              <w:pStyle w:val="11"/>
            </w:pPr>
            <w:r>
              <w:t>100.00</w:t>
            </w:r>
          </w:p>
        </w:tc>
        <w:tc>
          <w:tcPr>
            <w:tcW w:w="300" w:type="pct"/>
            <w:vAlign w:val="center"/>
          </w:tcPr>
          <w:p>
            <w:pPr>
              <w:pStyle w:val="11"/>
            </w:pPr>
            <w:r>
              <w:t>100.00</w:t>
            </w:r>
          </w:p>
        </w:tc>
        <w:tc>
          <w:tcPr>
            <w:tcW w:w="300" w:type="pct"/>
            <w:vAlign w:val="center"/>
          </w:tcPr>
          <w:p>
            <w:pPr>
              <w:pStyle w:val="11"/>
            </w:pPr>
          </w:p>
        </w:tc>
        <w:tc>
          <w:tcPr>
            <w:tcW w:w="300" w:type="pct"/>
            <w:vAlign w:val="center"/>
          </w:tcPr>
          <w:p>
            <w:pPr>
              <w:pStyle w:val="11"/>
            </w:pPr>
          </w:p>
        </w:tc>
        <w:tc>
          <w:tcPr>
            <w:tcW w:w="300" w:type="pct"/>
            <w:vAlign w:val="center"/>
          </w:tcPr>
          <w:p>
            <w:pPr>
              <w:pStyle w:val="11"/>
            </w:pPr>
          </w:p>
        </w:tc>
        <w:tc>
          <w:tcPr>
            <w:tcW w:w="300" w:type="pct"/>
            <w:vAlign w:val="center"/>
          </w:tcPr>
          <w:p>
            <w:pPr>
              <w:pStyle w:val="11"/>
            </w:pPr>
          </w:p>
        </w:tc>
        <w:tc>
          <w:tcPr>
            <w:tcW w:w="300" w:type="pct"/>
            <w:vAlign w:val="center"/>
          </w:tcPr>
          <w:p>
            <w:pPr>
              <w:pStyle w:val="11"/>
            </w:pPr>
          </w:p>
        </w:tc>
        <w:tc>
          <w:tcPr>
            <w:tcW w:w="302" w:type="pct"/>
            <w:vAlign w:val="center"/>
          </w:tcPr>
          <w:p>
            <w:pPr>
              <w:pStyle w:val="11"/>
            </w:pPr>
          </w:p>
        </w:tc>
        <w:tc>
          <w:tcPr>
            <w:tcW w:w="301" w:type="pct"/>
            <w:vAlign w:val="center"/>
          </w:tcPr>
          <w:p>
            <w:pPr>
              <w:pStyle w:val="11"/>
            </w:pPr>
            <w:r>
              <w:t>100.00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rPr>
          <w:sz w:val="32"/>
          <w:szCs w:val="32"/>
        </w:rPr>
      </w:pPr>
      <w:bookmarkStart w:id="15" w:name="_Toc_3_3_0000000016"/>
      <w:r>
        <w:rPr>
          <w:rFonts w:ascii="黑体" w:hAnsi="黑体" w:eastAsia="黑体" w:cs="黑体"/>
          <w:color w:val="000000"/>
          <w:sz w:val="32"/>
          <w:szCs w:val="32"/>
        </w:rPr>
        <w:t>七、国有资产信息</w:t>
      </w:r>
      <w:bookmarkEnd w:id="15"/>
    </w:p>
    <w:p>
      <w:pPr>
        <w:spacing w:line="500" w:lineRule="exact"/>
        <w:ind w:firstLine="560"/>
        <w:rPr>
          <w:rFonts w:eastAsia="方正仿宋_GBK"/>
          <w:color w:val="000000"/>
          <w:sz w:val="28"/>
        </w:rPr>
      </w:pPr>
      <w:r>
        <w:rPr>
          <w:rFonts w:eastAsia="方正仿宋_GBK"/>
          <w:color w:val="000000"/>
          <w:sz w:val="28"/>
        </w:rPr>
        <w:t>承德市工业和信息化局上年末固定资产金额为</w:t>
      </w:r>
      <w:r>
        <w:rPr>
          <w:rFonts w:hint="eastAsia" w:eastAsia="方正仿宋_GBK"/>
          <w:color w:val="auto"/>
          <w:sz w:val="28"/>
          <w:lang w:val="en-US" w:eastAsia="zh-CN"/>
        </w:rPr>
        <w:t>863.58</w:t>
      </w:r>
      <w:r>
        <w:rPr>
          <w:rFonts w:eastAsia="方正仿宋_GBK"/>
          <w:color w:val="000000"/>
          <w:sz w:val="28"/>
        </w:rPr>
        <w:t>万元（详见下表）。本年度拟购置固定资产总额为</w:t>
      </w:r>
      <w:r>
        <w:rPr>
          <w:rFonts w:hint="eastAsia" w:eastAsia="方正仿宋_GBK"/>
          <w:color w:val="000000"/>
          <w:sz w:val="28"/>
          <w:lang w:val="en-US" w:eastAsia="zh-CN"/>
        </w:rPr>
        <w:t>3</w:t>
      </w:r>
      <w:r>
        <w:rPr>
          <w:rFonts w:eastAsia="方正仿宋_GBK"/>
          <w:color w:val="000000"/>
          <w:sz w:val="28"/>
        </w:rPr>
        <w:t>.00万元，已按要求列入政府采购预算，详见政府采购预算表。</w:t>
      </w:r>
    </w:p>
    <w:p>
      <w:pPr>
        <w:spacing w:line="500" w:lineRule="exact"/>
        <w:ind w:firstLine="560"/>
        <w:rPr>
          <w:rFonts w:eastAsia="方正仿宋_GBK"/>
          <w:color w:val="000000"/>
          <w:sz w:val="28"/>
        </w:rPr>
      </w:pPr>
    </w:p>
    <w:p>
      <w:pPr>
        <w:spacing w:line="500" w:lineRule="exact"/>
        <w:ind w:firstLine="560"/>
        <w:rPr>
          <w:rFonts w:eastAsia="方正仿宋_GBK"/>
          <w:color w:val="000000"/>
          <w:sz w:val="28"/>
        </w:rPr>
      </w:pPr>
    </w:p>
    <w:p>
      <w:pPr>
        <w:spacing w:line="500" w:lineRule="exact"/>
        <w:rPr>
          <w:rFonts w:eastAsia="方正仿宋_GBK"/>
          <w:color w:val="000000"/>
          <w:sz w:val="28"/>
        </w:rPr>
      </w:pPr>
    </w:p>
    <w:p>
      <w:pPr>
        <w:jc w:val="center"/>
        <w:rPr>
          <w:sz w:val="28"/>
          <w:szCs w:val="28"/>
        </w:rPr>
      </w:pPr>
      <w:r>
        <w:rPr>
          <w:rFonts w:ascii="方正小标宋_GBK" w:hAnsi="方正小标宋_GBK" w:eastAsia="方正小标宋_GBK" w:cs="方正小标宋_GBK"/>
          <w:color w:val="000000"/>
          <w:sz w:val="28"/>
          <w:szCs w:val="28"/>
        </w:rPr>
        <w:t>部门固定资产占用情况表</w:t>
      </w:r>
    </w:p>
    <w:tbl>
      <w:tblPr>
        <w:tblStyle w:val="4"/>
        <w:tblW w:w="473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095"/>
        <w:gridCol w:w="2203"/>
        <w:gridCol w:w="59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142" w:type="pct"/>
            <w:tcBorders>
              <w:top w:val="single" w:color="FFFFFF" w:sz="6" w:space="0"/>
              <w:left w:val="single" w:color="FFFFFF" w:sz="6" w:space="0"/>
              <w:right w:val="single" w:color="FFFFFF" w:sz="6" w:space="0"/>
            </w:tcBorders>
            <w:vAlign w:val="center"/>
          </w:tcPr>
          <w:p>
            <w:pPr>
              <w:pStyle w:val="9"/>
            </w:pPr>
            <w:r>
              <w:t>593承德市工业和信息化局</w:t>
            </w:r>
          </w:p>
        </w:tc>
        <w:tc>
          <w:tcPr>
            <w:tcW w:w="2857" w:type="pct"/>
            <w:gridSpan w:val="2"/>
            <w:tcBorders>
              <w:top w:val="single" w:color="FFFFFF" w:sz="6" w:space="0"/>
              <w:left w:val="single" w:color="FFFFFF" w:sz="6" w:space="0"/>
              <w:right w:val="single" w:color="FFFFFF" w:sz="6" w:space="0"/>
            </w:tcBorders>
            <w:vAlign w:val="center"/>
          </w:tcPr>
          <w:p>
            <w:pPr>
              <w:pStyle w:val="7"/>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142" w:type="pct"/>
            <w:vAlign w:val="center"/>
          </w:tcPr>
          <w:p>
            <w:pPr>
              <w:widowControl/>
              <w:jc w:val="center"/>
              <w:rPr>
                <w:rFonts w:ascii="宋体" w:hAnsi="宋体" w:eastAsia="宋体" w:cs="宋体"/>
                <w:b/>
                <w:bCs/>
                <w:kern w:val="0"/>
                <w:sz w:val="22"/>
                <w:szCs w:val="24"/>
                <w:lang w:val="en-US" w:eastAsia="uk-UA" w:bidi="ar-SA"/>
              </w:rPr>
            </w:pPr>
            <w:r>
              <w:rPr>
                <w:rFonts w:hint="eastAsia" w:ascii="宋体" w:hAnsi="宋体" w:eastAsia="宋体" w:cs="宋体"/>
                <w:b/>
                <w:bCs/>
                <w:kern w:val="0"/>
                <w:sz w:val="22"/>
              </w:rPr>
              <w:t>项   目</w:t>
            </w:r>
          </w:p>
        </w:tc>
        <w:tc>
          <w:tcPr>
            <w:tcW w:w="774" w:type="pct"/>
            <w:vAlign w:val="center"/>
          </w:tcPr>
          <w:p>
            <w:pPr>
              <w:widowControl/>
              <w:jc w:val="center"/>
              <w:rPr>
                <w:rFonts w:ascii="宋体" w:hAnsi="宋体" w:eastAsia="宋体" w:cs="宋体"/>
                <w:b/>
                <w:bCs/>
                <w:kern w:val="0"/>
                <w:sz w:val="22"/>
                <w:szCs w:val="24"/>
                <w:lang w:val="en-US" w:eastAsia="uk-UA" w:bidi="ar-SA"/>
              </w:rPr>
            </w:pPr>
            <w:r>
              <w:rPr>
                <w:rFonts w:hint="eastAsia" w:ascii="宋体" w:hAnsi="宋体" w:eastAsia="宋体" w:cs="宋体"/>
                <w:b/>
                <w:bCs/>
                <w:kern w:val="0"/>
                <w:sz w:val="22"/>
              </w:rPr>
              <w:t>数量</w:t>
            </w:r>
          </w:p>
        </w:tc>
        <w:tc>
          <w:tcPr>
            <w:tcW w:w="2082" w:type="pct"/>
            <w:vAlign w:val="center"/>
          </w:tcPr>
          <w:p>
            <w:pPr>
              <w:widowControl/>
              <w:jc w:val="center"/>
              <w:rPr>
                <w:rFonts w:ascii="宋体" w:hAnsi="宋体" w:eastAsia="宋体" w:cs="宋体"/>
                <w:b/>
                <w:bCs/>
                <w:kern w:val="0"/>
                <w:sz w:val="22"/>
                <w:szCs w:val="24"/>
                <w:lang w:val="en-US" w:eastAsia="uk-UA" w:bidi="ar-SA"/>
              </w:rPr>
            </w:pPr>
            <w:r>
              <w:rPr>
                <w:rFonts w:hint="eastAsia" w:ascii="宋体" w:hAnsi="宋体" w:eastAsia="宋体" w:cs="宋体"/>
                <w:b/>
                <w:bCs/>
                <w:kern w:val="0"/>
                <w:sz w:val="22"/>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42" w:type="pct"/>
            <w:vAlign w:val="center"/>
          </w:tcPr>
          <w:p>
            <w:pPr>
              <w:widowControl/>
              <w:jc w:val="both"/>
              <w:rPr>
                <w:rFonts w:hint="eastAsia" w:ascii="宋体" w:hAnsi="宋体" w:eastAsia="宋体" w:cs="宋体"/>
                <w:kern w:val="0"/>
                <w:sz w:val="22"/>
                <w:szCs w:val="24"/>
                <w:lang w:val="en-US" w:eastAsia="zh-CN" w:bidi="ar-SA"/>
              </w:rPr>
            </w:pPr>
            <w:r>
              <w:rPr>
                <w:rFonts w:hint="eastAsia" w:ascii="宋体" w:hAnsi="宋体" w:cs="宋体"/>
                <w:kern w:val="0"/>
                <w:sz w:val="22"/>
                <w:lang w:val="en-US" w:eastAsia="zh-CN"/>
              </w:rPr>
              <w:t>资产总额</w:t>
            </w:r>
          </w:p>
        </w:tc>
        <w:tc>
          <w:tcPr>
            <w:tcW w:w="774" w:type="pct"/>
            <w:vAlign w:val="center"/>
          </w:tcPr>
          <w:p>
            <w:pPr>
              <w:widowControl/>
              <w:jc w:val="center"/>
              <w:rPr>
                <w:rFonts w:ascii="宋体" w:hAnsi="宋体" w:eastAsia="宋体" w:cs="宋体"/>
                <w:kern w:val="0"/>
                <w:sz w:val="22"/>
                <w:szCs w:val="24"/>
                <w:lang w:val="en-US" w:eastAsia="uk-UA" w:bidi="ar-SA"/>
              </w:rPr>
            </w:pPr>
            <w:r>
              <w:rPr>
                <w:rFonts w:hint="eastAsia" w:ascii="宋体" w:hAnsi="宋体" w:eastAsia="宋体" w:cs="宋体"/>
                <w:kern w:val="0"/>
                <w:sz w:val="22"/>
              </w:rPr>
              <w:t>——</w:t>
            </w:r>
          </w:p>
        </w:tc>
        <w:tc>
          <w:tcPr>
            <w:tcW w:w="2082" w:type="pct"/>
            <w:vAlign w:val="center"/>
          </w:tcPr>
          <w:p>
            <w:pPr>
              <w:widowControl/>
              <w:jc w:val="center"/>
              <w:rPr>
                <w:rFonts w:hint="default" w:ascii="宋体" w:hAnsi="宋体" w:eastAsia="宋体" w:cs="宋体"/>
                <w:kern w:val="0"/>
                <w:sz w:val="22"/>
                <w:szCs w:val="24"/>
                <w:lang w:val="en-US" w:eastAsia="zh-CN" w:bidi="ar-SA"/>
              </w:rPr>
            </w:pPr>
            <w:r>
              <w:rPr>
                <w:rFonts w:hint="eastAsia" w:ascii="宋体" w:hAnsi="宋体" w:cs="宋体"/>
                <w:kern w:val="0"/>
                <w:sz w:val="22"/>
                <w:lang w:val="en-US" w:eastAsia="zh-CN"/>
              </w:rPr>
              <w:t>863.58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42" w:type="pct"/>
            <w:vAlign w:val="center"/>
          </w:tcPr>
          <w:p>
            <w:pPr>
              <w:widowControl/>
              <w:jc w:val="left"/>
              <w:rPr>
                <w:rFonts w:hint="eastAsia" w:ascii="宋体" w:hAnsi="宋体" w:eastAsia="宋体" w:cs="宋体"/>
                <w:kern w:val="0"/>
                <w:sz w:val="22"/>
                <w:szCs w:val="24"/>
                <w:lang w:val="en-US" w:eastAsia="zh-CN" w:bidi="ar-SA"/>
              </w:rPr>
            </w:pPr>
            <w:r>
              <w:rPr>
                <w:rFonts w:hint="eastAsia" w:ascii="宋体" w:hAnsi="宋体" w:cs="宋体"/>
                <w:kern w:val="0"/>
                <w:sz w:val="22"/>
                <w:lang w:val="en-US" w:eastAsia="zh-CN"/>
              </w:rPr>
              <w:t>1、房屋（平方米）</w:t>
            </w:r>
          </w:p>
        </w:tc>
        <w:tc>
          <w:tcPr>
            <w:tcW w:w="774" w:type="pct"/>
            <w:vAlign w:val="center"/>
          </w:tcPr>
          <w:p>
            <w:pPr>
              <w:widowControl/>
              <w:jc w:val="center"/>
              <w:rPr>
                <w:rFonts w:hint="eastAsia" w:ascii="宋体" w:hAnsi="宋体" w:eastAsia="宋体" w:cs="宋体"/>
                <w:kern w:val="0"/>
                <w:sz w:val="22"/>
                <w:szCs w:val="24"/>
                <w:lang w:val="en-US" w:eastAsia="zh-CN" w:bidi="ar-SA"/>
              </w:rPr>
            </w:pPr>
            <w:r>
              <w:rPr>
                <w:rFonts w:hint="eastAsia" w:ascii="宋体" w:hAnsi="宋体" w:cs="宋体"/>
                <w:kern w:val="0"/>
                <w:sz w:val="22"/>
                <w:lang w:val="en-US" w:eastAsia="zh-CN"/>
              </w:rPr>
              <w:t>4503.94</w:t>
            </w:r>
          </w:p>
        </w:tc>
        <w:tc>
          <w:tcPr>
            <w:tcW w:w="2082" w:type="pct"/>
            <w:vAlign w:val="center"/>
          </w:tcPr>
          <w:p>
            <w:pPr>
              <w:widowControl/>
              <w:jc w:val="center"/>
              <w:rPr>
                <w:rFonts w:hint="default" w:ascii="宋体" w:hAnsi="宋体" w:eastAsia="宋体" w:cs="宋体"/>
                <w:kern w:val="0"/>
                <w:sz w:val="22"/>
                <w:szCs w:val="24"/>
                <w:lang w:val="en-US" w:eastAsia="zh-CN" w:bidi="ar-SA"/>
              </w:rPr>
            </w:pPr>
            <w:r>
              <w:rPr>
                <w:rFonts w:hint="eastAsia" w:ascii="宋体" w:hAnsi="宋体" w:cs="宋体"/>
                <w:kern w:val="0"/>
                <w:sz w:val="22"/>
                <w:lang w:val="en-US" w:eastAsia="zh-CN"/>
              </w:rPr>
              <w:t>371.28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42" w:type="pct"/>
            <w:vAlign w:val="center"/>
          </w:tcPr>
          <w:p>
            <w:pPr>
              <w:widowControl/>
              <w:jc w:val="left"/>
              <w:rPr>
                <w:rFonts w:hint="eastAsia" w:ascii="宋体" w:hAnsi="宋体" w:eastAsia="宋体" w:cs="宋体"/>
                <w:kern w:val="0"/>
                <w:sz w:val="22"/>
                <w:szCs w:val="24"/>
                <w:lang w:val="en-US" w:eastAsia="zh-CN" w:bidi="ar-SA"/>
              </w:rPr>
            </w:pPr>
            <w:r>
              <w:rPr>
                <w:rFonts w:hint="eastAsia" w:ascii="宋体" w:hAnsi="宋体" w:cs="宋体"/>
                <w:kern w:val="0"/>
                <w:sz w:val="22"/>
                <w:lang w:val="en-US" w:eastAsia="zh-CN"/>
              </w:rPr>
              <w:t xml:space="preserve">  其中：办公用房（平方米）</w:t>
            </w:r>
          </w:p>
        </w:tc>
        <w:tc>
          <w:tcPr>
            <w:tcW w:w="774" w:type="pct"/>
            <w:vAlign w:val="center"/>
          </w:tcPr>
          <w:p>
            <w:pPr>
              <w:widowControl/>
              <w:jc w:val="center"/>
              <w:rPr>
                <w:rFonts w:hint="eastAsia" w:ascii="宋体" w:hAnsi="宋体" w:eastAsia="宋体" w:cs="宋体"/>
                <w:kern w:val="0"/>
                <w:sz w:val="22"/>
                <w:szCs w:val="24"/>
                <w:lang w:val="en-US" w:eastAsia="zh-CN" w:bidi="ar-SA"/>
              </w:rPr>
            </w:pPr>
            <w:r>
              <w:rPr>
                <w:rFonts w:hint="eastAsia" w:ascii="宋体" w:hAnsi="宋体" w:cs="宋体"/>
                <w:kern w:val="0"/>
                <w:sz w:val="22"/>
                <w:lang w:val="en-US" w:eastAsia="zh-CN"/>
              </w:rPr>
              <w:t>830.94</w:t>
            </w:r>
          </w:p>
        </w:tc>
        <w:tc>
          <w:tcPr>
            <w:tcW w:w="2082" w:type="pct"/>
            <w:vAlign w:val="center"/>
          </w:tcPr>
          <w:p>
            <w:pPr>
              <w:widowControl/>
              <w:jc w:val="center"/>
              <w:rPr>
                <w:rFonts w:hint="eastAsia" w:ascii="宋体" w:hAnsi="宋体" w:eastAsia="宋体" w:cs="宋体"/>
                <w:kern w:val="0"/>
                <w:sz w:val="22"/>
                <w:szCs w:val="24"/>
                <w:lang w:val="en-US" w:eastAsia="zh-CN" w:bidi="ar-SA"/>
              </w:rPr>
            </w:pPr>
            <w:r>
              <w:rPr>
                <w:rFonts w:hint="eastAsia" w:ascii="宋体" w:hAnsi="宋体" w:cs="宋体"/>
                <w:kern w:val="0"/>
                <w:sz w:val="22"/>
                <w:lang w:val="en-US" w:eastAsia="zh-CN"/>
              </w:rPr>
              <w:t>80.84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42" w:type="pct"/>
            <w:vAlign w:val="center"/>
          </w:tcPr>
          <w:p>
            <w:pPr>
              <w:widowControl/>
              <w:jc w:val="left"/>
              <w:rPr>
                <w:rFonts w:hint="eastAsia" w:ascii="宋体" w:hAnsi="宋体" w:eastAsia="宋体" w:cs="宋体"/>
                <w:kern w:val="0"/>
                <w:sz w:val="22"/>
                <w:szCs w:val="24"/>
                <w:lang w:val="en-US" w:eastAsia="zh-CN" w:bidi="ar-SA"/>
              </w:rPr>
            </w:pPr>
            <w:r>
              <w:rPr>
                <w:rFonts w:hint="eastAsia" w:ascii="宋体" w:hAnsi="宋体" w:cs="宋体"/>
                <w:kern w:val="0"/>
                <w:sz w:val="22"/>
                <w:lang w:val="en-US" w:eastAsia="zh-CN"/>
              </w:rPr>
              <w:t>2、车辆（台、辆）</w:t>
            </w:r>
          </w:p>
        </w:tc>
        <w:tc>
          <w:tcPr>
            <w:tcW w:w="774" w:type="pct"/>
            <w:vAlign w:val="center"/>
          </w:tcPr>
          <w:p>
            <w:pPr>
              <w:widowControl/>
              <w:jc w:val="center"/>
              <w:rPr>
                <w:rFonts w:hint="eastAsia" w:ascii="宋体" w:hAnsi="宋体" w:eastAsia="宋体" w:cs="宋体"/>
                <w:kern w:val="0"/>
                <w:sz w:val="22"/>
                <w:szCs w:val="24"/>
                <w:lang w:val="en-US" w:eastAsia="zh-CN" w:bidi="ar-SA"/>
              </w:rPr>
            </w:pPr>
            <w:r>
              <w:rPr>
                <w:rFonts w:hint="eastAsia" w:ascii="宋体" w:hAnsi="宋体" w:cs="宋体"/>
                <w:kern w:val="0"/>
                <w:sz w:val="22"/>
                <w:lang w:val="en-US" w:eastAsia="zh-CN"/>
              </w:rPr>
              <w:t>6</w:t>
            </w:r>
          </w:p>
        </w:tc>
        <w:tc>
          <w:tcPr>
            <w:tcW w:w="2082" w:type="pct"/>
            <w:vAlign w:val="center"/>
          </w:tcPr>
          <w:p>
            <w:pPr>
              <w:widowControl/>
              <w:jc w:val="center"/>
              <w:rPr>
                <w:rFonts w:hint="default" w:ascii="宋体" w:hAnsi="宋体" w:eastAsia="宋体" w:cs="宋体"/>
                <w:kern w:val="0"/>
                <w:sz w:val="22"/>
                <w:szCs w:val="24"/>
                <w:lang w:val="en-US" w:eastAsia="zh-CN" w:bidi="ar-SA"/>
              </w:rPr>
            </w:pPr>
            <w:r>
              <w:rPr>
                <w:rFonts w:hint="eastAsia" w:ascii="宋体" w:hAnsi="宋体" w:cs="宋体"/>
                <w:kern w:val="0"/>
                <w:sz w:val="22"/>
                <w:lang w:val="en-US" w:eastAsia="zh-CN"/>
              </w:rPr>
              <w:t>140.75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42" w:type="pct"/>
            <w:vAlign w:val="center"/>
          </w:tcPr>
          <w:p>
            <w:pPr>
              <w:widowControl/>
              <w:jc w:val="left"/>
              <w:rPr>
                <w:rFonts w:hint="eastAsia" w:ascii="宋体" w:hAnsi="宋体" w:eastAsia="宋体" w:cs="宋体"/>
                <w:kern w:val="0"/>
                <w:sz w:val="22"/>
                <w:szCs w:val="24"/>
                <w:lang w:val="en-US" w:eastAsia="zh-CN" w:bidi="ar-SA"/>
              </w:rPr>
            </w:pPr>
            <w:r>
              <w:rPr>
                <w:rFonts w:hint="eastAsia" w:ascii="宋体" w:hAnsi="宋体" w:cs="宋体"/>
                <w:kern w:val="0"/>
                <w:sz w:val="22"/>
                <w:lang w:val="en-US" w:eastAsia="zh-CN"/>
              </w:rPr>
              <w:t>3、单价在20万元以上设备</w:t>
            </w:r>
          </w:p>
        </w:tc>
        <w:tc>
          <w:tcPr>
            <w:tcW w:w="774" w:type="pct"/>
            <w:vAlign w:val="center"/>
          </w:tcPr>
          <w:p>
            <w:pPr>
              <w:widowControl/>
              <w:jc w:val="center"/>
              <w:rPr>
                <w:rFonts w:ascii="宋体" w:hAnsi="宋体" w:eastAsia="宋体" w:cs="宋体"/>
                <w:kern w:val="0"/>
                <w:sz w:val="22"/>
                <w:szCs w:val="24"/>
                <w:lang w:val="en-US" w:eastAsia="uk-UA" w:bidi="ar-SA"/>
              </w:rPr>
            </w:pPr>
            <w:r>
              <w:rPr>
                <w:rFonts w:hint="eastAsia" w:ascii="宋体" w:hAnsi="宋体" w:eastAsia="宋体" w:cs="宋体"/>
                <w:kern w:val="0"/>
                <w:sz w:val="22"/>
              </w:rPr>
              <w:t>——</w:t>
            </w:r>
          </w:p>
        </w:tc>
        <w:tc>
          <w:tcPr>
            <w:tcW w:w="2082" w:type="pct"/>
            <w:vAlign w:val="center"/>
          </w:tcPr>
          <w:p>
            <w:pPr>
              <w:widowControl/>
              <w:jc w:val="center"/>
              <w:rPr>
                <w:rFonts w:hint="eastAsia" w:ascii="宋体" w:hAnsi="宋体" w:eastAsia="宋体" w:cs="宋体"/>
                <w:kern w:val="0"/>
                <w:sz w:val="22"/>
                <w:szCs w:val="24"/>
                <w:lang w:val="en-US" w:eastAsia="zh-CN" w:bidi="ar-SA"/>
              </w:rPr>
            </w:pPr>
            <w:r>
              <w:rPr>
                <w:rFonts w:hint="eastAsia" w:ascii="宋体" w:hAnsi="宋体" w:cs="宋体"/>
                <w:kern w:val="0"/>
                <w:sz w:val="22"/>
                <w:lang w:val="en-US" w:eastAsia="zh-CN"/>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42" w:type="pct"/>
            <w:vAlign w:val="center"/>
          </w:tcPr>
          <w:p>
            <w:pPr>
              <w:widowControl/>
              <w:jc w:val="left"/>
              <w:rPr>
                <w:rFonts w:hint="eastAsia" w:ascii="宋体" w:hAnsi="宋体" w:eastAsia="宋体" w:cs="宋体"/>
                <w:kern w:val="0"/>
                <w:sz w:val="22"/>
                <w:szCs w:val="24"/>
                <w:lang w:val="en-US" w:eastAsia="zh-CN" w:bidi="ar-SA"/>
              </w:rPr>
            </w:pPr>
            <w:r>
              <w:rPr>
                <w:rFonts w:hint="eastAsia" w:ascii="宋体" w:hAnsi="宋体" w:cs="宋体"/>
                <w:kern w:val="0"/>
                <w:sz w:val="22"/>
                <w:lang w:val="en-US" w:eastAsia="zh-CN"/>
              </w:rPr>
              <w:t>4、其他固定资产</w:t>
            </w:r>
          </w:p>
        </w:tc>
        <w:tc>
          <w:tcPr>
            <w:tcW w:w="774" w:type="pct"/>
            <w:vAlign w:val="center"/>
          </w:tcPr>
          <w:p>
            <w:pPr>
              <w:widowControl/>
              <w:jc w:val="center"/>
              <w:rPr>
                <w:rFonts w:ascii="宋体" w:hAnsi="宋体" w:eastAsia="宋体" w:cs="宋体"/>
                <w:kern w:val="0"/>
                <w:sz w:val="22"/>
                <w:szCs w:val="24"/>
                <w:lang w:val="en-US" w:eastAsia="uk-UA" w:bidi="ar-SA"/>
              </w:rPr>
            </w:pPr>
            <w:r>
              <w:rPr>
                <w:rFonts w:hint="eastAsia" w:ascii="宋体" w:hAnsi="宋体" w:eastAsia="宋体" w:cs="宋体"/>
                <w:kern w:val="0"/>
                <w:sz w:val="22"/>
              </w:rPr>
              <w:t>——</w:t>
            </w:r>
          </w:p>
        </w:tc>
        <w:tc>
          <w:tcPr>
            <w:tcW w:w="2082" w:type="pct"/>
            <w:vAlign w:val="center"/>
          </w:tcPr>
          <w:p>
            <w:pPr>
              <w:widowControl/>
              <w:jc w:val="center"/>
              <w:rPr>
                <w:rFonts w:hint="default" w:ascii="宋体" w:hAnsi="宋体" w:eastAsia="Times New Roman" w:cs="宋体"/>
                <w:kern w:val="0"/>
                <w:sz w:val="22"/>
                <w:szCs w:val="24"/>
                <w:lang w:val="en-US" w:eastAsia="zh-CN" w:bidi="ar-SA"/>
              </w:rPr>
            </w:pPr>
            <w:r>
              <w:rPr>
                <w:rFonts w:hint="eastAsia" w:ascii="宋体" w:hAnsi="宋体" w:cs="宋体"/>
                <w:kern w:val="0"/>
                <w:sz w:val="22"/>
                <w:lang w:val="en-US" w:eastAsia="zh-CN"/>
              </w:rPr>
              <w:t>351.55</w:t>
            </w:r>
          </w:p>
        </w:tc>
      </w:tr>
    </w:tbl>
    <w:p>
      <w:pPr>
        <w:ind w:firstLine="840" w:firstLineChars="400"/>
        <w:rPr>
          <w:rFonts w:hint="eastAsia" w:ascii="宋体" w:hAnsi="宋体" w:eastAsia="宋体" w:cs="宋体"/>
          <w:color w:val="auto"/>
          <w:sz w:val="28"/>
          <w:szCs w:val="28"/>
          <w:lang w:val="en-US" w:eastAsia="zh-CN"/>
        </w:rPr>
      </w:pPr>
      <w:r>
        <w:rPr>
          <w:rFonts w:ascii="方正书宋_GBK" w:hAnsi="方正书宋_GBK" w:eastAsia="方正书宋_GBK" w:cs="方正书宋_GBK"/>
          <w:color w:val="000000"/>
          <w:sz w:val="21"/>
        </w:rPr>
        <w:t>注</w:t>
      </w:r>
      <w:r>
        <w:rPr>
          <w:rFonts w:ascii="方正书宋_GBK" w:hAnsi="方正书宋_GBK" w:eastAsia="方正书宋_GBK" w:cs="方正书宋_GBK"/>
          <w:color w:val="000000"/>
          <w:sz w:val="28"/>
          <w:szCs w:val="28"/>
        </w:rPr>
        <w:t>：</w:t>
      </w:r>
      <w:bookmarkStart w:id="16" w:name="_Toc_3_3_0000000017"/>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eastAsia="zh-CN"/>
        </w:rPr>
        <w:t>实有车辆</w:t>
      </w:r>
      <w:r>
        <w:rPr>
          <w:rFonts w:hint="eastAsia" w:ascii="宋体" w:hAnsi="宋体" w:eastAsia="宋体" w:cs="宋体"/>
          <w:color w:val="auto"/>
          <w:sz w:val="28"/>
          <w:szCs w:val="28"/>
          <w:lang w:val="en-US" w:eastAsia="zh-CN"/>
        </w:rPr>
        <w:t>6辆。</w:t>
      </w:r>
    </w:p>
    <w:p>
      <w:pPr>
        <w:rPr>
          <w:rFonts w:hint="eastAsia" w:ascii="仿宋_GB2312" w:hAnsi="黑体" w:eastAsia="仿宋_GB2312" w:cs="Times New Roman"/>
          <w:color w:val="auto"/>
          <w:sz w:val="28"/>
          <w:szCs w:val="28"/>
          <w:lang w:val="en-US" w:eastAsia="zh-CN"/>
        </w:rPr>
      </w:pPr>
      <w:r>
        <w:rPr>
          <w:rFonts w:hint="eastAsia" w:ascii="宋体" w:hAnsi="宋体" w:eastAsia="宋体" w:cs="宋体"/>
          <w:color w:val="auto"/>
          <w:sz w:val="28"/>
          <w:szCs w:val="28"/>
          <w:lang w:val="en-US" w:eastAsia="zh-CN"/>
        </w:rPr>
        <w:t xml:space="preserve">        2、办公用房价值80.84万元计入固定资产。</w:t>
      </w:r>
    </w:p>
    <w:p>
      <w:pPr>
        <w:spacing w:before="10" w:after="10"/>
        <w:outlineLvl w:val="2"/>
        <w:rPr>
          <w:rFonts w:ascii="黑体" w:hAnsi="黑体" w:eastAsia="黑体" w:cs="黑体"/>
          <w:color w:val="000000"/>
          <w:sz w:val="32"/>
        </w:rPr>
      </w:pPr>
    </w:p>
    <w:p>
      <w:pPr>
        <w:spacing w:before="10" w:after="10"/>
        <w:ind w:firstLine="640"/>
        <w:outlineLvl w:val="2"/>
        <w:rPr>
          <w:sz w:val="32"/>
          <w:szCs w:val="32"/>
        </w:rPr>
      </w:pPr>
      <w:r>
        <w:rPr>
          <w:rFonts w:ascii="黑体" w:hAnsi="黑体" w:eastAsia="黑体" w:cs="黑体"/>
          <w:color w:val="000000"/>
          <w:sz w:val="32"/>
          <w:szCs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市</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rPr>
          <w:rFonts w:eastAsia="方正仿宋_GBK"/>
          <w:color w:val="000000"/>
          <w:sz w:val="28"/>
        </w:rPr>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rPr>
          <w:rFonts w:eastAsia="方正仿宋_GBK"/>
          <w:color w:val="000000"/>
          <w:sz w:val="28"/>
        </w:rPr>
      </w:pPr>
    </w:p>
    <w:p>
      <w:pPr>
        <w:spacing w:before="10" w:after="10"/>
        <w:ind w:firstLine="640"/>
        <w:outlineLvl w:val="2"/>
        <w:rPr>
          <w:sz w:val="32"/>
          <w:szCs w:val="32"/>
        </w:rPr>
      </w:pPr>
      <w:bookmarkStart w:id="17" w:name="_Toc_3_3_0000000018"/>
      <w:r>
        <w:rPr>
          <w:rFonts w:ascii="黑体" w:hAnsi="黑体" w:eastAsia="黑体" w:cs="黑体"/>
          <w:color w:val="000000"/>
          <w:sz w:val="32"/>
          <w:szCs w:val="32"/>
        </w:rPr>
        <w:t>九、其他需要说明的事项</w:t>
      </w:r>
      <w:bookmarkEnd w:id="17"/>
    </w:p>
    <w:p>
      <w:pPr>
        <w:spacing w:line="500" w:lineRule="exact"/>
        <w:ind w:firstLine="560"/>
        <w:rPr>
          <w:rFonts w:hint="eastAsia" w:eastAsia="宋体"/>
          <w:lang w:val="en-US" w:eastAsia="zh-CN"/>
        </w:rPr>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8E50C1"/>
    <w:multiLevelType w:val="singleLevel"/>
    <w:tmpl w:val="F78E50C1"/>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4EA"/>
    <w:rsid w:val="0002117A"/>
    <w:rsid w:val="00421573"/>
    <w:rsid w:val="005A14A7"/>
    <w:rsid w:val="006F04EA"/>
    <w:rsid w:val="01FF7191"/>
    <w:rsid w:val="024D1597"/>
    <w:rsid w:val="03781630"/>
    <w:rsid w:val="075915FC"/>
    <w:rsid w:val="08E13F7A"/>
    <w:rsid w:val="09293C1C"/>
    <w:rsid w:val="096A7D53"/>
    <w:rsid w:val="0DFF65F5"/>
    <w:rsid w:val="0E8853C5"/>
    <w:rsid w:val="0F295A1A"/>
    <w:rsid w:val="14070EF0"/>
    <w:rsid w:val="15B05904"/>
    <w:rsid w:val="16221D47"/>
    <w:rsid w:val="177B46E6"/>
    <w:rsid w:val="1C586E05"/>
    <w:rsid w:val="1EF108E0"/>
    <w:rsid w:val="1F59656D"/>
    <w:rsid w:val="1F862CA2"/>
    <w:rsid w:val="226F02C6"/>
    <w:rsid w:val="26844273"/>
    <w:rsid w:val="280821E0"/>
    <w:rsid w:val="2A962876"/>
    <w:rsid w:val="2F807692"/>
    <w:rsid w:val="33586178"/>
    <w:rsid w:val="35257596"/>
    <w:rsid w:val="3B9A0BAF"/>
    <w:rsid w:val="43EE160A"/>
    <w:rsid w:val="45681802"/>
    <w:rsid w:val="4AF86681"/>
    <w:rsid w:val="51D57A6A"/>
    <w:rsid w:val="5214431E"/>
    <w:rsid w:val="523D4ECD"/>
    <w:rsid w:val="560F49CC"/>
    <w:rsid w:val="5AC838ED"/>
    <w:rsid w:val="5C5F2DBD"/>
    <w:rsid w:val="5D1B0113"/>
    <w:rsid w:val="5E255193"/>
    <w:rsid w:val="5F5F0972"/>
    <w:rsid w:val="66E330CE"/>
    <w:rsid w:val="67E635C4"/>
    <w:rsid w:val="6BD214E6"/>
    <w:rsid w:val="71402B12"/>
    <w:rsid w:val="79FC3DB8"/>
    <w:rsid w:val="7C137B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8"/>
    <w:semiHidden/>
    <w:unhideWhenUsed/>
    <w:qFormat/>
    <w:uiPriority w:val="99"/>
    <w:pPr>
      <w:tabs>
        <w:tab w:val="center" w:pos="4153"/>
        <w:tab w:val="right" w:pos="8306"/>
      </w:tabs>
      <w:snapToGrid w:val="0"/>
    </w:pPr>
    <w:rPr>
      <w:sz w:val="18"/>
      <w:szCs w:val="18"/>
    </w:rPr>
  </w:style>
  <w:style w:type="paragraph" w:styleId="3">
    <w:name w:val="header"/>
    <w:basedOn w:val="1"/>
    <w:link w:val="3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Normal_a89edd8c-2764-4cb3-9920-3c7618fca246"/>
    <w:qFormat/>
    <w:uiPriority w:val="0"/>
    <w:rPr>
      <w:rFonts w:ascii="Times New Roman" w:hAnsi="Times New Roman" w:eastAsia="Times New Roman" w:cs="Times New Roman"/>
      <w:sz w:val="24"/>
      <w:szCs w:val="24"/>
      <w:lang w:val="en-US" w:eastAsia="uk-UA" w:bidi="ar-SA"/>
    </w:rPr>
  </w:style>
  <w:style w:type="paragraph" w:customStyle="1" w:styleId="25">
    <w:name w:val="单元格样式1_30a713d0-19dd-46ef-af72-ef306d606fd9"/>
    <w:basedOn w:val="1"/>
    <w:qFormat/>
    <w:uiPriority w:val="0"/>
    <w:pPr>
      <w:jc w:val="center"/>
    </w:pPr>
    <w:rPr>
      <w:rFonts w:ascii="方正书宋_GBK" w:hAnsi="方正书宋_GBK" w:eastAsia="方正书宋_GBK" w:cs="方正书宋_GBK"/>
      <w:b/>
      <w:sz w:val="21"/>
    </w:rPr>
  </w:style>
  <w:style w:type="paragraph" w:customStyle="1" w:styleId="26">
    <w:name w:val="单元格样式2_c0ded913-423b-4fb6-8c18-a6e739f6bd82"/>
    <w:basedOn w:val="1"/>
    <w:qFormat/>
    <w:uiPriority w:val="0"/>
    <w:rPr>
      <w:rFonts w:ascii="方正书宋_GBK" w:hAnsi="方正书宋_GBK" w:eastAsia="方正书宋_GBK" w:cs="方正书宋_GBK"/>
      <w:sz w:val="21"/>
    </w:rPr>
  </w:style>
  <w:style w:type="paragraph" w:customStyle="1" w:styleId="27">
    <w:name w:val="单元格样式3_f6e68905-c23e-4eec-ad3e-167eb3e79b0d"/>
    <w:basedOn w:val="1"/>
    <w:qFormat/>
    <w:uiPriority w:val="0"/>
    <w:pPr>
      <w:jc w:val="center"/>
    </w:pPr>
    <w:rPr>
      <w:rFonts w:ascii="方正书宋_GBK" w:hAnsi="方正书宋_GBK" w:eastAsia="方正书宋_GBK" w:cs="方正书宋_GBK"/>
      <w:sz w:val="21"/>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33">
    <w:name w:val="TOC 2"/>
    <w:basedOn w:val="1"/>
    <w:qFormat/>
    <w:uiPriority w:val="0"/>
    <w:pPr>
      <w:ind w:left="240"/>
    </w:pPr>
  </w:style>
  <w:style w:type="paragraph" w:customStyle="1" w:styleId="34">
    <w:name w:val="TOC 3"/>
    <w:basedOn w:val="1"/>
    <w:qFormat/>
    <w:uiPriority w:val="0"/>
    <w:pPr>
      <w:ind w:left="480"/>
    </w:pPr>
  </w:style>
  <w:style w:type="paragraph" w:customStyle="1" w:styleId="35">
    <w:name w:val="TOC 4"/>
    <w:basedOn w:val="1"/>
    <w:qFormat/>
    <w:uiPriority w:val="0"/>
    <w:pPr>
      <w:ind w:left="720"/>
    </w:pPr>
  </w:style>
  <w:style w:type="paragraph" w:customStyle="1" w:styleId="36">
    <w:name w:val="TOC 1"/>
    <w:basedOn w:val="1"/>
    <w:qFormat/>
    <w:uiPriority w:val="0"/>
    <w:pPr>
      <w:spacing w:before="120"/>
      <w:ind w:firstLine="560"/>
    </w:pPr>
    <w:rPr>
      <w:rFonts w:eastAsia="方正仿宋_GBK"/>
      <w:color w:val="000000"/>
      <w:sz w:val="28"/>
    </w:rPr>
  </w:style>
  <w:style w:type="character" w:customStyle="1" w:styleId="37">
    <w:name w:val="页眉 Char"/>
    <w:basedOn w:val="6"/>
    <w:link w:val="3"/>
    <w:semiHidden/>
    <w:qFormat/>
    <w:uiPriority w:val="99"/>
    <w:rPr>
      <w:rFonts w:eastAsia="Times New Roman"/>
      <w:sz w:val="18"/>
      <w:szCs w:val="18"/>
      <w:lang w:eastAsia="uk-UA"/>
    </w:rPr>
  </w:style>
  <w:style w:type="character" w:customStyle="1" w:styleId="38">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3.xml"/><Relationship Id="rId21" Type="http://schemas.openxmlformats.org/officeDocument/2006/relationships/customXml" Target="../customXml/item12.xml"/><Relationship Id="rId20" Type="http://schemas.openxmlformats.org/officeDocument/2006/relationships/customXml" Target="../customXml/item11.xml"/><Relationship Id="rId2" Type="http://schemas.openxmlformats.org/officeDocument/2006/relationships/settings" Target="settings.xml"/><Relationship Id="rId19" Type="http://schemas.openxmlformats.org/officeDocument/2006/relationships/customXml" Target="../customXml/item10.xml"/><Relationship Id="rId18" Type="http://schemas.openxmlformats.org/officeDocument/2006/relationships/customXml" Target="../customXml/item9.xml"/><Relationship Id="rId17" Type="http://schemas.openxmlformats.org/officeDocument/2006/relationships/customXml" Target="../customXml/item8.xml"/><Relationship Id="rId16" Type="http://schemas.openxmlformats.org/officeDocument/2006/relationships/customXml" Target="../customXml/item7.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2022-02-17T08:51:42Z</dcterms:created>
  <dcterms:modified xsi:type="dcterms:W3CDTF">2022-02-17T00:51:41Z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2022-02-17T08:51:47Z</dcterms:created>
  <dcterms:modified xsi:type="dcterms:W3CDTF">2022-02-17T00:51:47Z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2022-02-17T08:51:36Z</dcterms:created>
  <dcterms:modified xsi:type="dcterms:W3CDTF">2022-02-17T00:51:36Z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2022-02-17T08:51:44Z</dcterms:created>
  <dcterms:modified xsi:type="dcterms:W3CDTF">2022-02-17T00:51:44Z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2022-02-17T08:51:38Z</dcterms:created>
  <dcterms:modified xsi:type="dcterms:W3CDTF">2022-02-17T00:51:38Z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2022-02-17T08:51:47Z</dcterms:created>
  <dcterms:modified xsi:type="dcterms:W3CDTF">2022-02-17T00:51:46Z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6A0F2166-EE17-46E3-8D61-737D622AAC8D}">
  <ds:schemaRefs/>
</ds:datastoreItem>
</file>

<file path=customXml/itemProps11.xml><?xml version="1.0" encoding="utf-8"?>
<ds:datastoreItem xmlns:ds="http://schemas.openxmlformats.org/officeDocument/2006/customXml" ds:itemID="{AB207572-62C4-439C-BCA5-147581F317A5}">
  <ds:schemaRefs/>
</ds:datastoreItem>
</file>

<file path=customXml/itemProps12.xml><?xml version="1.0" encoding="utf-8"?>
<ds:datastoreItem xmlns:ds="http://schemas.openxmlformats.org/officeDocument/2006/customXml" ds:itemID="{96EAD8B0-46D1-4A4F-BAAB-2978EB6F421B}">
  <ds:schemaRefs/>
</ds:datastoreItem>
</file>

<file path=customXml/itemProps13.xml><?xml version="1.0" encoding="utf-8"?>
<ds:datastoreItem xmlns:ds="http://schemas.openxmlformats.org/officeDocument/2006/customXml" ds:itemID="{4ED15D7E-B421-4B51-A9F8-B98C8B89FCC0}">
  <ds:schemaRefs/>
</ds:datastoreItem>
</file>

<file path=customXml/itemProps2.xml><?xml version="1.0" encoding="utf-8"?>
<ds:datastoreItem xmlns:ds="http://schemas.openxmlformats.org/officeDocument/2006/customXml" ds:itemID="{6BDA16F4-81CE-4020-8556-2E4A650E06BB}">
  <ds:schemaRefs/>
</ds:datastoreItem>
</file>

<file path=customXml/itemProps3.xml><?xml version="1.0" encoding="utf-8"?>
<ds:datastoreItem xmlns:ds="http://schemas.openxmlformats.org/officeDocument/2006/customXml" ds:itemID="{5E8E80C1-C6C2-49B5-B683-4D2ECB9F50AE}">
  <ds:schemaRefs/>
</ds:datastoreItem>
</file>

<file path=customXml/itemProps4.xml><?xml version="1.0" encoding="utf-8"?>
<ds:datastoreItem xmlns:ds="http://schemas.openxmlformats.org/officeDocument/2006/customXml" ds:itemID="{470E2700-DB63-4C55-BA3E-00A00B0951AD}">
  <ds:schemaRefs/>
</ds:datastoreItem>
</file>

<file path=customXml/itemProps5.xml><?xml version="1.0" encoding="utf-8"?>
<ds:datastoreItem xmlns:ds="http://schemas.openxmlformats.org/officeDocument/2006/customXml" ds:itemID="{11170956-4B93-4E33-810A-9CB781D9C1DA}">
  <ds:schemaRefs/>
</ds:datastoreItem>
</file>

<file path=customXml/itemProps6.xml><?xml version="1.0" encoding="utf-8"?>
<ds:datastoreItem xmlns:ds="http://schemas.openxmlformats.org/officeDocument/2006/customXml" ds:itemID="{2C763267-689D-446F-9BB2-B94F2611A0C1}">
  <ds:schemaRefs/>
</ds:datastoreItem>
</file>

<file path=customXml/itemProps7.xml><?xml version="1.0" encoding="utf-8"?>
<ds:datastoreItem xmlns:ds="http://schemas.openxmlformats.org/officeDocument/2006/customXml" ds:itemID="{C77C5DEA-DC09-4530-A263-6AFC972BB237}">
  <ds:schemaRefs/>
</ds:datastoreItem>
</file>

<file path=customXml/itemProps8.xml><?xml version="1.0" encoding="utf-8"?>
<ds:datastoreItem xmlns:ds="http://schemas.openxmlformats.org/officeDocument/2006/customXml" ds:itemID="{3BCD099A-AF59-490E-8813-0039EF998FDB}">
  <ds:schemaRefs/>
</ds:datastoreItem>
</file>

<file path=customXml/itemProps9.xml><?xml version="1.0" encoding="utf-8"?>
<ds:datastoreItem xmlns:ds="http://schemas.openxmlformats.org/officeDocument/2006/customXml" ds:itemID="{FAE5ADCC-9B75-4B4C-BF23-D34BE79AB80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69</Pages>
  <Words>4723</Words>
  <Characters>26922</Characters>
  <Lines>224</Lines>
  <Paragraphs>63</Paragraphs>
  <TotalTime>3</TotalTime>
  <ScaleCrop>false</ScaleCrop>
  <LinksUpToDate>false</LinksUpToDate>
  <CharactersWithSpaces>31582</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2022-02-17T00:57:00Z</dcterms:created>
  <dc:creator>Administrator</dc:creator>
  <cp:lastModifiedBy>Administrator</cp:lastModifiedBy>
  <dcterms:modified xsi:type="dcterms:W3CDTF">2022-07-09T08:18:56Z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74165A3B0E224BFAA6E75A844B81063E</vt:lpwstr>
  </property>
</Properties>
</file>